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35" w:rsidRPr="002B1D16" w:rsidRDefault="00856135" w:rsidP="00856135">
      <w:pPr>
        <w:tabs>
          <w:tab w:val="left" w:pos="9072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56135" w:rsidRPr="00DE49CD" w:rsidRDefault="00856135" w:rsidP="00DE49CD">
      <w:pPr>
        <w:spacing w:after="0" w:line="360" w:lineRule="atLeast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>План меропри</w:t>
      </w:r>
      <w:r w:rsidR="008C130E"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ятий по реализации </w:t>
      </w:r>
      <w:r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9837A8"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регионального </w:t>
      </w:r>
      <w:r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>проекта</w:t>
      </w:r>
      <w:r w:rsidR="009837A8"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«Старшее поколение» в Куйбышевском районе</w:t>
      </w:r>
      <w:r w:rsidRPr="00DE49C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856135" w:rsidRPr="002B1D16" w:rsidRDefault="00856135" w:rsidP="0085613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856135" w:rsidRPr="002B1D16" w:rsidRDefault="00856135" w:rsidP="00856135">
      <w:pPr>
        <w:spacing w:after="0" w:line="12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52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5811"/>
        <w:gridCol w:w="1275"/>
        <w:gridCol w:w="1276"/>
        <w:gridCol w:w="1843"/>
        <w:gridCol w:w="3117"/>
        <w:gridCol w:w="1134"/>
        <w:tblGridChange w:id="0">
          <w:tblGrid>
            <w:gridCol w:w="1021"/>
            <w:gridCol w:w="5811"/>
            <w:gridCol w:w="1275"/>
            <w:gridCol w:w="1276"/>
            <w:gridCol w:w="1843"/>
            <w:gridCol w:w="3117"/>
            <w:gridCol w:w="1134"/>
          </w:tblGrid>
        </w:tblGridChange>
      </w:tblGrid>
      <w:tr w:rsidR="00856135" w:rsidRPr="002B1D16">
        <w:trPr>
          <w:trHeight w:val="540"/>
          <w:tblHeader/>
        </w:trPr>
        <w:tc>
          <w:tcPr>
            <w:tcW w:w="1021" w:type="dxa"/>
            <w:vMerge w:val="restart"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1" w:type="dxa"/>
            <w:vMerge w:val="restart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результата, мероприятия,</w:t>
            </w:r>
          </w:p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контрольной точки</w:t>
            </w:r>
          </w:p>
        </w:tc>
        <w:tc>
          <w:tcPr>
            <w:tcW w:w="2551" w:type="dxa"/>
            <w:gridSpan w:val="2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856135" w:rsidRPr="002B1D16">
        <w:trPr>
          <w:trHeight w:val="435"/>
          <w:tblHeader/>
        </w:trPr>
        <w:tc>
          <w:tcPr>
            <w:tcW w:w="1021" w:type="dxa"/>
            <w:vMerge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56135" w:rsidRPr="002B1D16">
        <w:trPr>
          <w:trHeight w:val="680"/>
        </w:trPr>
        <w:tc>
          <w:tcPr>
            <w:tcW w:w="15477" w:type="dxa"/>
            <w:gridSpan w:val="7"/>
            <w:shd w:val="clear" w:color="auto" w:fill="auto"/>
            <w:vAlign w:val="center"/>
          </w:tcPr>
          <w:p w:rsidR="00856135" w:rsidRPr="002B1D16" w:rsidRDefault="00856135" w:rsidP="0085613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</w:rPr>
              <w:t>1. Укрепление здоровья, увеличение периода активного долголетия и продолжительности здоровой жизни</w:t>
            </w:r>
          </w:p>
        </w:tc>
      </w:tr>
      <w:tr w:rsidR="001411CB" w:rsidRPr="002B1D16">
        <w:trPr>
          <w:trHeight w:val="411"/>
        </w:trPr>
        <w:tc>
          <w:tcPr>
            <w:tcW w:w="15477" w:type="dxa"/>
            <w:gridSpan w:val="7"/>
            <w:shd w:val="clear" w:color="auto" w:fill="auto"/>
          </w:tcPr>
          <w:p w:rsidR="001411CB" w:rsidRPr="007C1777" w:rsidRDefault="001411CB" w:rsidP="00D83BB6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i/>
                <w:color w:val="000000"/>
                <w:sz w:val="24"/>
                <w:szCs w:val="24"/>
                <w:u w:color="000000"/>
              </w:rPr>
            </w:pPr>
            <w:r w:rsidRPr="007C1777">
              <w:rPr>
                <w:rFonts w:ascii="Times New Roman" w:eastAsia="Arial Unicode MS" w:hAnsi="Times New Roman"/>
                <w:b/>
                <w:bCs/>
                <w:i/>
                <w:color w:val="000000"/>
                <w:sz w:val="24"/>
                <w:szCs w:val="24"/>
                <w:u w:color="000000"/>
              </w:rPr>
              <w:t>1.1.</w:t>
            </w:r>
            <w:r w:rsidRPr="007C17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Организация профилактическими осмотрами, включая диспансеризацию, лиц старше трудоспособного возраста</w:t>
            </w:r>
          </w:p>
        </w:tc>
      </w:tr>
      <w:tr w:rsidR="001A152A" w:rsidRPr="002B1D16">
        <w:tc>
          <w:tcPr>
            <w:tcW w:w="1021" w:type="dxa"/>
            <w:shd w:val="clear" w:color="auto" w:fill="auto"/>
          </w:tcPr>
          <w:p w:rsidR="001A152A" w:rsidRPr="002B1D16" w:rsidRDefault="001A152A" w:rsidP="001A152A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811" w:type="dxa"/>
            <w:shd w:val="clear" w:color="auto" w:fill="auto"/>
          </w:tcPr>
          <w:p w:rsidR="001A152A" w:rsidRPr="002B1D16" w:rsidRDefault="001A152A" w:rsidP="001A1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A152A" w:rsidRPr="002B1D16" w:rsidRDefault="001A152A" w:rsidP="001A1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152A" w:rsidRPr="002B1D16" w:rsidRDefault="001A152A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152A" w:rsidRPr="002B1D16" w:rsidRDefault="001A152A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843" w:type="dxa"/>
            <w:shd w:val="clear" w:color="auto" w:fill="auto"/>
          </w:tcPr>
          <w:p w:rsidR="001A152A" w:rsidRPr="002B1D16" w:rsidRDefault="001A152A" w:rsidP="001A152A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09041F" w:rsidRPr="000A4166" w:rsidRDefault="0009041F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  <w:r w:rsidR="000A4166"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2019-26,1%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2020-31,1%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2021-37,1%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2022-55,7%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2023-65,3%</w:t>
            </w:r>
          </w:p>
          <w:p w:rsidR="000A4166" w:rsidRPr="000A4166" w:rsidRDefault="000A4166" w:rsidP="00090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2024-70%</w:t>
            </w:r>
          </w:p>
          <w:p w:rsidR="0009041F" w:rsidRDefault="0009041F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152A" w:rsidRPr="002B1D16" w:rsidRDefault="001A152A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1A152A" w:rsidRPr="002B1D16" w:rsidRDefault="001A152A" w:rsidP="001A1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главного врача по поликлиническому разделу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D9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позитивного и уважительного отношения к людям старшего поколения, повышение готовности всего населения к происходящим демографическим изменениям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3" w:type="dxa"/>
            <w:shd w:val="clear" w:color="auto" w:fill="auto"/>
          </w:tcPr>
          <w:p w:rsidR="007C754E" w:rsidRDefault="007C754E" w:rsidP="007C75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7C754E" w:rsidRDefault="007C754E" w:rsidP="007C75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7C754E" w:rsidRPr="008E6532" w:rsidRDefault="007C754E" w:rsidP="007C75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D95">
              <w:rPr>
                <w:rFonts w:ascii="Times New Roman" w:hAnsi="Times New Roman"/>
                <w:sz w:val="24"/>
                <w:szCs w:val="24"/>
              </w:rPr>
              <w:t>В целях популяризации системной поддержки и повышения качества жизни граждан старшего поколения обеспечено р</w:t>
            </w:r>
            <w:r w:rsidRPr="00CB2D95">
              <w:rPr>
                <w:rFonts w:ascii="Times New Roman" w:hAnsi="Times New Roman"/>
                <w:sz w:val="24"/>
                <w:szCs w:val="24"/>
                <w:lang w:eastAsia="ru-RU"/>
              </w:rPr>
              <w:t>азмещен</w:t>
            </w:r>
            <w:r w:rsidR="001D208F">
              <w:rPr>
                <w:rFonts w:ascii="Times New Roman" w:hAnsi="Times New Roman"/>
                <w:sz w:val="24"/>
                <w:szCs w:val="24"/>
                <w:lang w:eastAsia="ru-RU"/>
              </w:rPr>
              <w:t>о 60</w:t>
            </w:r>
            <w:r w:rsidRPr="00CB2D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D95">
              <w:rPr>
                <w:rFonts w:ascii="Times New Roman" w:hAnsi="Times New Roman"/>
                <w:sz w:val="24"/>
                <w:szCs w:val="24"/>
              </w:rPr>
              <w:t>рекламно-информационных материалов в средствах массовой информации, в информационно-телекомму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2D95">
              <w:rPr>
                <w:rFonts w:ascii="Times New Roman" w:hAnsi="Times New Roman"/>
                <w:sz w:val="24"/>
                <w:szCs w:val="24"/>
              </w:rPr>
              <w:t>никационной сети «Интер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2D95">
              <w:rPr>
                <w:rFonts w:ascii="Times New Roman" w:hAnsi="Times New Roman"/>
                <w:sz w:val="24"/>
                <w:szCs w:val="24"/>
              </w:rPr>
              <w:t>нет».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D95">
              <w:rPr>
                <w:rFonts w:ascii="Times New Roman" w:hAnsi="Times New Roman"/>
                <w:sz w:val="24"/>
                <w:szCs w:val="24"/>
              </w:rPr>
              <w:t xml:space="preserve">В целях популяризации системной поддержки и повышения качества жизни граждан старшего поколения обеспечено распространение </w:t>
            </w:r>
            <w:r w:rsidR="001D208F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r w:rsidRPr="00CB2D95">
              <w:rPr>
                <w:rFonts w:ascii="Times New Roman" w:hAnsi="Times New Roman"/>
                <w:sz w:val="24"/>
                <w:szCs w:val="24"/>
              </w:rPr>
              <w:t>буклетов.</w:t>
            </w:r>
          </w:p>
        </w:tc>
        <w:tc>
          <w:tcPr>
            <w:tcW w:w="1134" w:type="dxa"/>
            <w:shd w:val="clear" w:color="auto" w:fill="auto"/>
          </w:tcPr>
          <w:p w:rsidR="007C754E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1411CB" w:rsidRPr="002B1D16">
        <w:tc>
          <w:tcPr>
            <w:tcW w:w="15477" w:type="dxa"/>
            <w:gridSpan w:val="7"/>
            <w:shd w:val="clear" w:color="auto" w:fill="auto"/>
          </w:tcPr>
          <w:p w:rsidR="001411CB" w:rsidRPr="007C1777" w:rsidRDefault="00F566CA" w:rsidP="008561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C17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1.1.2.</w:t>
            </w:r>
            <w:r w:rsidRPr="007C1777">
              <w:rPr>
                <w:rFonts w:ascii="Times New Roman" w:hAnsi="Times New Roman"/>
                <w:b/>
                <w:i/>
                <w:sz w:val="24"/>
                <w:szCs w:val="24"/>
              </w:rPr>
              <w:t> Организация диспансерного наблюдения лиц старше трудоспособного возраста, у которых выявлены заболевания и патологические состояния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Результат: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67,3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69,1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0%</w:t>
            </w:r>
          </w:p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1.1.2.2.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1.1.2.3.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1.1.2.4.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1.1.2.5.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1.1.2.6.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1.1.2.7.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1.1.2.8.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1.1.2.9.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1.1.2.10.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7C754E" w:rsidRDefault="007C754E" w:rsidP="007C754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1.1.2.11.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7C754E" w:rsidRPr="002B1D16">
        <w:tc>
          <w:tcPr>
            <w:tcW w:w="1021" w:type="dxa"/>
            <w:shd w:val="clear" w:color="auto" w:fill="auto"/>
          </w:tcPr>
          <w:p w:rsidR="007C754E" w:rsidRPr="002B1D16" w:rsidRDefault="007C754E" w:rsidP="007C754E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1.1.2.12.</w:t>
            </w:r>
          </w:p>
        </w:tc>
        <w:tc>
          <w:tcPr>
            <w:tcW w:w="5811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7C754E" w:rsidRPr="002B1D16" w:rsidRDefault="007C754E" w:rsidP="007C75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1843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7C754E" w:rsidRPr="002B1D16" w:rsidRDefault="007C754E" w:rsidP="007C7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837A8" w:rsidRPr="002B1D16">
        <w:trPr>
          <w:trHeight w:val="713"/>
        </w:trPr>
        <w:tc>
          <w:tcPr>
            <w:tcW w:w="15477" w:type="dxa"/>
            <w:gridSpan w:val="7"/>
            <w:shd w:val="clear" w:color="auto" w:fill="auto"/>
            <w:vAlign w:val="center"/>
          </w:tcPr>
          <w:p w:rsidR="009837A8" w:rsidRPr="00DB66A2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DB66A2">
              <w:rPr>
                <w:rFonts w:ascii="Times New Roman" w:hAnsi="Times New Roman"/>
                <w:b/>
                <w:i/>
                <w:sz w:val="24"/>
                <w:szCs w:val="24"/>
              </w:rPr>
              <w:t>1.1.3. 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1.1.3.1.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166" w:rsidRDefault="000A4166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Результат: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0A4166" w:rsidRPr="000A4166" w:rsidRDefault="000A4166" w:rsidP="000A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</w:t>
            </w:r>
            <w:r w:rsidRPr="000A41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1.1.3.2.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1.1.3.3.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1.1.3.4.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1.1.3.5.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1.1.3.6.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03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15.12.2021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1.1.3.7.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1.1.3.8.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</w:t>
            </w:r>
            <w:r w:rsidRPr="00BB1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1.1.3.9.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1.1.3.10.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 мониторинг достижения показателей регионального проекта </w:t>
            </w:r>
          </w:p>
        </w:tc>
        <w:tc>
          <w:tcPr>
            <w:tcW w:w="1275" w:type="dxa"/>
            <w:shd w:val="clear" w:color="auto" w:fill="auto"/>
          </w:tcPr>
          <w:p w:rsidR="001D208F" w:rsidRDefault="001D208F" w:rsidP="001D208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</w:t>
            </w:r>
            <w:r w:rsidRPr="00C07B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15.12.2023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по результатам мониторинга 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1.1.3.11.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</w:tc>
        <w:tc>
          <w:tcPr>
            <w:tcW w:w="1275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1D208F" w:rsidRPr="002B1D16">
        <w:tc>
          <w:tcPr>
            <w:tcW w:w="1021" w:type="dxa"/>
            <w:shd w:val="clear" w:color="auto" w:fill="auto"/>
          </w:tcPr>
          <w:p w:rsidR="001D208F" w:rsidRPr="002B1D16" w:rsidRDefault="001D208F" w:rsidP="001D208F">
            <w:pPr>
              <w:tabs>
                <w:tab w:val="left" w:pos="142"/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1.1.3.12.</w:t>
            </w:r>
          </w:p>
        </w:tc>
        <w:tc>
          <w:tcPr>
            <w:tcW w:w="5811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 мониторинг достижения показателей регионального проекта</w:t>
            </w:r>
          </w:p>
          <w:p w:rsidR="001D208F" w:rsidRPr="002B1D16" w:rsidRDefault="001D208F" w:rsidP="001D20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276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</w:tc>
        <w:tc>
          <w:tcPr>
            <w:tcW w:w="1843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результатам мониторинга</w:t>
            </w:r>
          </w:p>
        </w:tc>
        <w:tc>
          <w:tcPr>
            <w:tcW w:w="1134" w:type="dxa"/>
            <w:shd w:val="clear" w:color="auto" w:fill="auto"/>
          </w:tcPr>
          <w:p w:rsidR="001D208F" w:rsidRPr="002B1D16" w:rsidRDefault="001D208F" w:rsidP="001D20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837A8" w:rsidRPr="002B1D16">
        <w:tc>
          <w:tcPr>
            <w:tcW w:w="15477" w:type="dxa"/>
            <w:gridSpan w:val="7"/>
            <w:shd w:val="clear" w:color="auto" w:fill="auto"/>
          </w:tcPr>
          <w:p w:rsidR="009837A8" w:rsidRPr="00280D98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80D9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1.2. </w:t>
            </w:r>
            <w:r w:rsidRPr="00280D98">
              <w:rPr>
                <w:rFonts w:ascii="Times New Roman" w:eastAsia="Arial Unicode MS" w:hAnsi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  <w:t>Организация оказания медицинской помощи по профилю «гериатрия»</w:t>
            </w:r>
          </w:p>
        </w:tc>
      </w:tr>
      <w:tr w:rsidR="009837A8" w:rsidRPr="002B1D16">
        <w:tc>
          <w:tcPr>
            <w:tcW w:w="1021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80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1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Оснащение гериатрического кабинета поликлиники ГБУЗ НСО «Куйбышевская ЦРБ»</w:t>
            </w: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порядками и стандартами оказания медицинской помощи по профилю «Гериатрия» (сроки реализации контрольные точки подлежат корректировке с учетом включения в Федеральный проект в 2020 году)</w:t>
            </w:r>
          </w:p>
        </w:tc>
        <w:tc>
          <w:tcPr>
            <w:tcW w:w="1275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  <w:shd w:val="clear" w:color="auto" w:fill="auto"/>
          </w:tcPr>
          <w:p w:rsidR="009837A8" w:rsidRDefault="009837A8" w:rsidP="009837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МЗ НСО</w:t>
            </w:r>
          </w:p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НСО «Куйбышевская ЦРБ» Васильев Е.В.</w:t>
            </w:r>
          </w:p>
        </w:tc>
        <w:tc>
          <w:tcPr>
            <w:tcW w:w="3117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Приказ МЗ РФ от 29.01.2016г №38н «Порядок оказания медицинской помощи по профилю «Гериатрия»</w:t>
            </w:r>
          </w:p>
        </w:tc>
        <w:tc>
          <w:tcPr>
            <w:tcW w:w="1134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837A8" w:rsidRPr="002B1D16">
        <w:tc>
          <w:tcPr>
            <w:tcW w:w="1021" w:type="dxa"/>
            <w:shd w:val="clear" w:color="auto" w:fill="auto"/>
          </w:tcPr>
          <w:p w:rsidR="009837A8" w:rsidRPr="002B1D16" w:rsidRDefault="00280D9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811" w:type="dxa"/>
            <w:shd w:val="clear" w:color="auto" w:fill="auto"/>
          </w:tcPr>
          <w:p w:rsidR="009837A8" w:rsidRPr="00D027D4" w:rsidRDefault="009837A8" w:rsidP="009837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соответствия материально-технического оснащения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гериатрического кабинета поликлиники ГБУЗ НСО «Куйбышевская ЦРБ»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порядкам и стандартам оказания медицинской помощи.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заявки в  </w:t>
            </w:r>
          </w:p>
        </w:tc>
        <w:tc>
          <w:tcPr>
            <w:tcW w:w="1275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01.07.2019</w:t>
            </w:r>
          </w:p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843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Утверждение Перечня медицинского оборудования (далее- Перечень) для п</w:t>
            </w: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ереоснащения гериатрических кабинетов.</w:t>
            </w:r>
          </w:p>
        </w:tc>
        <w:tc>
          <w:tcPr>
            <w:tcW w:w="1134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837A8" w:rsidRPr="002B1D16">
        <w:tc>
          <w:tcPr>
            <w:tcW w:w="1021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  <w:r w:rsidR="00280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заявки для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оснащения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гериатрического кабинета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отдел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материально-технического обеспечения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МЗ НСО </w:t>
            </w:r>
          </w:p>
        </w:tc>
        <w:tc>
          <w:tcPr>
            <w:tcW w:w="1275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276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1843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117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tLeast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Приведение оснащения кабинета в соответствие с с п</w:t>
            </w:r>
            <w:r w:rsidRPr="002B1D1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риказ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>ом</w:t>
            </w:r>
            <w:r w:rsidRPr="002B1D16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МЗ РФ от 29.01.2016г №38н «Порядок оказания медицинской помощи по профилю «Гериатрия»</w:t>
            </w:r>
          </w:p>
        </w:tc>
        <w:tc>
          <w:tcPr>
            <w:tcW w:w="1134" w:type="dxa"/>
            <w:shd w:val="clear" w:color="auto" w:fill="auto"/>
          </w:tcPr>
          <w:p w:rsidR="009837A8" w:rsidRPr="002B1D16" w:rsidRDefault="009837A8" w:rsidP="009837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</w:tbl>
    <w:p w:rsidR="00D57056" w:rsidRPr="002B1D16" w:rsidRDefault="00D57056" w:rsidP="00D57056">
      <w:pPr>
        <w:spacing w:after="0"/>
        <w:rPr>
          <w:vanish/>
        </w:rPr>
      </w:pPr>
    </w:p>
    <w:p w:rsidR="00D57056" w:rsidRPr="002B1D16" w:rsidRDefault="00D57056" w:rsidP="00D57056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999"/>
        <w:gridCol w:w="5695"/>
        <w:gridCol w:w="1270"/>
        <w:gridCol w:w="1270"/>
        <w:gridCol w:w="2017"/>
        <w:gridCol w:w="3069"/>
        <w:gridCol w:w="1125"/>
        <w:gridCol w:w="6"/>
        <w:tblGridChange w:id="1">
          <w:tblGrid>
            <w:gridCol w:w="999"/>
            <w:gridCol w:w="5695"/>
            <w:gridCol w:w="1270"/>
            <w:gridCol w:w="1270"/>
            <w:gridCol w:w="2017"/>
            <w:gridCol w:w="3069"/>
            <w:gridCol w:w="1125"/>
            <w:gridCol w:w="6"/>
          </w:tblGrid>
        </w:tblGridChange>
      </w:tblGrid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нащение гериатрического кабинета</w:t>
            </w: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компьютерным оборудованием и внедрение ЕГИЗ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 компьютера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-1 портативный принтер 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-Система защиты и аттестация 1 мобильного АРМ по требованиям информационной безопасности.</w:t>
            </w:r>
          </w:p>
        </w:tc>
        <w:tc>
          <w:tcPr>
            <w:tcW w:w="1270" w:type="dxa"/>
            <w:shd w:val="clear" w:color="auto" w:fill="auto"/>
          </w:tcPr>
          <w:p w:rsidR="009837A8" w:rsidRPr="00ED7F8C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ED7F8C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</w:tcPr>
          <w:p w:rsidR="009837A8" w:rsidRPr="00ED7F8C" w:rsidRDefault="009837A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017" w:type="dxa"/>
            <w:shd w:val="clear" w:color="auto" w:fill="auto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Ларин С.А. – начальник отдела развития информационных технологий</w:t>
            </w:r>
          </w:p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МЗ НСО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НСО «Куйбышевская ЦРБ» Васильев Е.В.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Ввод в эксплуатацию оборудования </w:t>
            </w:r>
          </w:p>
        </w:tc>
        <w:tc>
          <w:tcPr>
            <w:tcW w:w="1270" w:type="dxa"/>
            <w:shd w:val="clear" w:color="auto" w:fill="auto"/>
          </w:tcPr>
          <w:p w:rsidR="009837A8" w:rsidRPr="0080436A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80436A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01.08.2019</w:t>
            </w:r>
          </w:p>
        </w:tc>
        <w:tc>
          <w:tcPr>
            <w:tcW w:w="1270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Главный врач 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НСО «Куйбышевская ЦРБ» Васильев Е.В.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Начальник отдела АСУ Рябова Н.В.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комплексной гериатрической оценки (КГО)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гериатрическом кабинете поликлиники ГБУЗ НСО «Куйбышевская ЦРБ»</w:t>
            </w:r>
          </w:p>
        </w:tc>
        <w:tc>
          <w:tcPr>
            <w:tcW w:w="1270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специалистов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ГБУЗ НСО «Куйбышевская ЦРБ»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школу гериатров (ежеквартально) и обучающие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инары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последующим тестированием для специалистов первичного звена здравоохранения по внедрению в практику  тестов («Возраст не помеха», «Встань и иди», «Мини Ког» и др.) для верификации диагноза у пациентов с впервые выявленным синдромом старческой астении (ежегодно)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единого регионального протокола по  проведению алгоритма диагностики синдрома старческой астении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-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практику внедрено проведение тестов для верификации диагноза у пациентов с впервые выявленным синдромом старческой астении. Увеличено количество граждан старших возрастов, прошедших тест «Возраст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помеха» в кабинете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 здоровья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  <w:trHeight w:val="3343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наблюдения пациентов с синдромом старческой астении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ГБУЗ НСО «Куйбышевская ЦРБ»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т.ч. организация наблюдения врачами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ерапевтами участковыми и врачом - гериатром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дому маломобильных пациентов. Применение методик дистанционного мониторинга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01.01.2020</w:t>
            </w:r>
          </w:p>
          <w:p w:rsidR="006673DF" w:rsidRDefault="006673DF" w:rsidP="006673DF">
            <w:pP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6673DF" w:rsidRPr="006673DF" w:rsidRDefault="006673DF" w:rsidP="006673DF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Pr="002B1D16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терапевтическим отделением поликлиники Галкина В.М. Врач-гериатр Щербинина А.А.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673DF" w:rsidRPr="00130EEF" w:rsidRDefault="006673DF" w:rsidP="00667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врачом – гериатром гериатрического кабинета поликлиники ГБУЗ НСО «Куйбышевская ЦРБ»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360</w:t>
            </w:r>
            <w:r w:rsidRPr="001430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пациентов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выявлен синдром старческой астении и начато лечение. </w:t>
            </w:r>
          </w:p>
          <w:p w:rsidR="006673DF" w:rsidRPr="0014300C" w:rsidRDefault="006673DF" w:rsidP="00667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постоянной основе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силами медработников поликлиники, центра здоровья,  участковых больниц и ФАП </w:t>
            </w:r>
            <w:r w:rsidRPr="001430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начата широкая информационно-коммуникационная кампания для граждан старших возрастов по профилактике  факторов риска возраст – ассоциированных заболеваний и синдрома старческой астении (ССА), повышение приверженности населения к  ведению здорового образа жизни, формирование у пациентов ответственного отношения к сохранению здоровья). </w:t>
            </w:r>
          </w:p>
          <w:p w:rsidR="006673DF" w:rsidRPr="00130EEF" w:rsidRDefault="006673DF" w:rsidP="00667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Внедрена единая комплексная гериатрическая оценка (КГО) при проведении диагностики синдрома старческой астении (ССА) </w:t>
            </w:r>
            <w:r w:rsidRPr="00130E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 практику внедрен алгоритм диагностики (ССА), путем проведения тестов («Возраст не помеха», «Встань и иди», «Мини-Ког» и т.д.)  для верификации диагноза у пациентов с впервые выявленной ССА).</w:t>
            </w:r>
          </w:p>
          <w:p w:rsidR="006673DF" w:rsidRDefault="006673DF" w:rsidP="006673DF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130EEF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Обеспечено качественное оказание медицинской помощи в соответствии с клиническими рекомендациями и протоколами лечения по профилю «Гериатрия» </w:t>
            </w:r>
          </w:p>
          <w:p w:rsidR="006673DF" w:rsidRDefault="006673DF" w:rsidP="006673DF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2019 году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направление пациентов на консультацию и лечение в межрайонный Центр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контингента особого внимания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созданный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6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ГБУЗ НСО «Новосибирский областной госпиталь №2 ветеранов войн», ГБУЗ НСО «Новосибирский областной клинический госпиталь ветеранов войн», ГБУЗ НСО «Госпиталь ветеранов войн № 3».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Получат консультацию в Центре 20 пациентов.</w:t>
            </w:r>
          </w:p>
          <w:p w:rsidR="006673DF" w:rsidRPr="002B1D16" w:rsidRDefault="006673DF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перечня обследований и консультаций, периодичности осмотров по каждому заболеванию, состоянию, по поводу которого проводится диспансерное наблюдение у граждан старших возрастов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01.03.2019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6673DF" w:rsidRPr="00130EEF" w:rsidRDefault="006673DF" w:rsidP="006673DF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2019 году диспансерным наблюдением охвачено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  <w:r w:rsidRPr="00EF1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(9 680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возраста, у которых выявлены заболевания и патологические состояния.</w:t>
            </w:r>
          </w:p>
          <w:p w:rsidR="009837A8" w:rsidRPr="002B1D16" w:rsidRDefault="006673DF" w:rsidP="006673DF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диспансерное наблюдение пациентов старше трудоспособного воз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 в поликлинике г. Куйбышева, участковых больницах и ФАП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оказывающих первичную медико-санитарную помощь, в т.ч. организация наблюдения на дому маломобильных пациентов (ветеранов)</w:t>
            </w:r>
            <w:r w:rsidRPr="00130E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(к 2024 году обеспечен 70% охват диспансерным наблюдением пациентов старше трудоспособного возраста, в соответствии с порядком, установленным приказом Министерства здравоохранения Российской Федерации от 26.10.2017 № 869н «Об утверждении порядка проведения диспансеризации определенных групп взрослого населения»)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модели диспансерного наблюдения пациентов с синдромом старческой астении в МИС ЕГИСЗ НСО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АСУ Рябова Н.В.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в электронной медицинской документации внедрен блок «диспансеризация», сведения о диспансерном наблюдении пациентов отражаются в регистре 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целевых параметров эффективности диспансерного наблюдения (ежегодно)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аналитическая справка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  <w:u w:color="000000"/>
                <w:lang w:eastAsia="ru-RU"/>
              </w:rPr>
              <w:t>врача-гериатра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Организовано диспансерное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пациентов с возраст-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ассоциированными заболеваниями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поликлиники ГБУЗ НСО «Куйбышевская ЦРБ» 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организация наблюдения врачами  терапевтами участковыми и врачами- гериатрами на дому маломобильных пациентов. Применена методика дистанционного мониторинга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терапевтическим отделением поликлиники Галкина В.М. Врач-гериатр Щербинина А.А.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 80% охват диспансерным наблюдением больных, с возраст- ассоциированными заболеваниями в соответствии с порядком, установленным приказом Министерства здравоохранения Российской Федерации </w:t>
            </w:r>
            <w:r w:rsidRPr="002B1D16">
              <w:rPr>
                <w:rFonts w:ascii="Times New Roman" w:eastAsia="Arial Unicode MS" w:hAnsi="Times New Roman"/>
                <w:bCs/>
                <w:sz w:val="24"/>
                <w:szCs w:val="24"/>
                <w:lang w:eastAsia="ru-RU"/>
              </w:rPr>
              <w:t>от 26.10.2017 №869н «Об утверждении порядка проведения диспансеризации определенных групп населения»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граждан старше трудоспособного возраста из групп риска вакцинацией против пневмококковой инфекции.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6673DF" w:rsidRPr="002B1D16" w:rsidRDefault="006673DF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73DF" w:rsidRPr="002B1D16" w:rsidRDefault="006673DF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6673DF" w:rsidP="006673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2019 году обеспечен </w:t>
            </w:r>
            <w:r w:rsidRPr="00EF19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 чел)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 xml:space="preserve"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 </w:t>
            </w:r>
            <w:r w:rsidRPr="00130E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(в соответствии с Приказом Минздрава России № 125 Н от 21.03.2014 «Об утверждении национального календаря профилакти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ческих прививок по эпидемическим показаниям» взрослые из групп риска подлежат вакцинации против пневмококковой инфекции. Снижение смертности от пневмонии, увеличение продолжитель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ности жизни лиц старше трудоспособного возраста, перенесших пневмонию, септический шок)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40 процентов лиц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01.12.2019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21 процента граждан старше трудоспособного возраста охвачено профилактическими осмотрами, включая диспансеризацию.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Врач-гериатр</w:t>
            </w:r>
          </w:p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здоровья</w:t>
            </w:r>
          </w:p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1.2.17.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Врач-гериатр</w:t>
            </w:r>
          </w:p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здоровья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1.2.18.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56,5%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1.2.19.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40%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1.2.20.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1.2.21.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28,</w:t>
            </w:r>
            <w:r w:rsidR="0066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процента граждан старше трудоспособного возраста охвачено профилактическими осмотрами, включая диспансеризацию.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01.12.2020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6673DF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2020 году профилактическими осмотрами обеспечено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(4 326 чел.)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старше трудоспособного возраста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1.2.22</w:t>
            </w:r>
            <w:r w:rsidR="009837A8"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60,</w:t>
            </w:r>
            <w:r w:rsidR="0066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6673DF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2020 году диспансерным наблюдением охвачено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(10 389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возраста, у которых выявлены заболевания и патологические состояния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1.2.23.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6673DF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2020 году обеспечен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(20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1.2.24.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2017" w:type="dxa"/>
            <w:shd w:val="clear" w:color="auto" w:fill="auto"/>
          </w:tcPr>
          <w:p w:rsidR="009837A8" w:rsidRPr="009E105A" w:rsidRDefault="009837A8" w:rsidP="001226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E105A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36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авление отчета в Минздрав НСО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1.2.25.</w:t>
            </w:r>
          </w:p>
        </w:tc>
        <w:tc>
          <w:tcPr>
            <w:tcW w:w="5695" w:type="dxa"/>
            <w:shd w:val="clear" w:color="auto" w:fill="auto"/>
          </w:tcPr>
          <w:p w:rsidR="009837A8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граждан старше трудоспособного возраста охвачено профилактическими осмотрами, включая диспансеризацию.</w:t>
            </w:r>
          </w:p>
          <w:p w:rsidR="00B274DD" w:rsidRPr="002B1D16" w:rsidRDefault="00B274DD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05A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579F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2021 году профилактичес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кими осмотрами обеспечено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(5 420 чел.)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старше трудоспособного возраста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1.2.26.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</w:t>
            </w:r>
            <w:r w:rsidR="00E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05A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охвата граждан старше трудоспособного возраста профилактическими осмотрами, включая диспансеризацию.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1.2.27.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E579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</w:t>
            </w:r>
            <w:r w:rsidR="00E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2,7 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CD62EB" w:rsidRDefault="009837A8" w:rsidP="001226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579F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диспансерным наблюдением охвачено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(10 790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возраста, у которых выявлены заболевания и патологические состояния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1.2.28.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95%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105A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579F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обеспечен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(24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1.2.29.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отчета в Минздрав НСО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1.2.30.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 граждан старше трудоспособного возраста охвачено профилактическими осмотрами, включая диспансеризацию.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579F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2022 году профилактичес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кими осмотрами обеспечено </w:t>
            </w:r>
            <w:r w:rsidRPr="00C44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55,4%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(8 741 чел.)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лиц старше трудоспособного возраста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1.2.31</w:t>
            </w:r>
            <w:r w:rsidR="00983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охвата граждан старше трудоспособного возраста профилактическими осмотрами, включая диспансеризацию.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1.2.32.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69% 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CD62EB" w:rsidRDefault="00E579F0" w:rsidP="001226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диспансерным наблюдением охвачено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(11 978)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способного возраста, у которых выявлены забо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левания и патологические состояния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1.2.33.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95%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579F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обеспечен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(24 чел.)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1.2.34.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Проведена вакцинация против пневмококковой инфекции 95% гражданам старше трудоспособного возраста 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</w:t>
            </w:r>
            <w:r w:rsidR="00E579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отчета в Минздрав НСО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1.2.35.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FA48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FA4821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диспансерным наблюдением охвачено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(14 044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возраста, у которых выявлены заболевания и патологические состояния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1.2.36.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95%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FD7FE5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обеспечен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95%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(24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1.2.37.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25.02.2023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отчета в М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инздрав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НСО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1.2.38.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E3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 старше трудоспособного возраста охвачено профилактическими осмотрами, включая диспансеризацию.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E33C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году профилактичес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кими осмотрами обеспечено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(11 275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1.2.39.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охвата граждан старше трудоспособного возраста профилактическими осмотрами, включая диспансеризацию.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1.2.40.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EE3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граждан старше трудоспособного возраста взято на диспансерное наблюдение по поводу заболеваний и патологических состояний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E33C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диспансерным наблюдением охвачено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(15 857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 старше трудоспособного возраста, у которых выявлены заболевания и патологические состояния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1.2.41.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95% лиц, старше трудоспособного возраста из групп риска охвачено вакцинацией против пневмококковой инфекции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2B1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017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EE33C0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2024 году обеспечен </w:t>
            </w:r>
            <w:r w:rsidRPr="00811F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95%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(24 чел.) </w:t>
            </w:r>
            <w:r w:rsidRPr="00130E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охват </w:t>
            </w:r>
            <w:r w:rsidRPr="00130EEF">
              <w:rPr>
                <w:rFonts w:ascii="Times New Roman" w:hAnsi="Times New Roman"/>
                <w:sz w:val="24"/>
                <w:szCs w:val="24"/>
              </w:rPr>
              <w:t>вакцинацией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9A3279" w:rsidRPr="002B1D16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837A8" w:rsidRPr="002B1D16" w:rsidRDefault="00280D9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1.2.42.</w:t>
            </w:r>
          </w:p>
        </w:tc>
        <w:tc>
          <w:tcPr>
            <w:tcW w:w="569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точка</w:t>
            </w:r>
          </w:p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состояния здоровья граждан старше трудоспособного возраста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837A8" w:rsidRPr="002B1D16" w:rsidRDefault="009837A8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62EB">
              <w:rPr>
                <w:rFonts w:ascii="Times New Roman" w:hAnsi="Times New Roman"/>
                <w:sz w:val="24"/>
                <w:szCs w:val="24"/>
              </w:rPr>
              <w:t>Зам. главного врача по поликлиническому разделу Ковальчук С.И.</w:t>
            </w:r>
          </w:p>
        </w:tc>
        <w:tc>
          <w:tcPr>
            <w:tcW w:w="3069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D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отчета в минздрав Росии</w:t>
            </w:r>
          </w:p>
        </w:tc>
        <w:tc>
          <w:tcPr>
            <w:tcW w:w="1125" w:type="dxa"/>
            <w:shd w:val="clear" w:color="auto" w:fill="auto"/>
          </w:tcPr>
          <w:p w:rsidR="009837A8" w:rsidRPr="002B1D16" w:rsidRDefault="009837A8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КЦРБ</w:t>
            </w:r>
          </w:p>
        </w:tc>
      </w:tr>
      <w:tr w:rsidR="006E19E5" w:rsidRPr="00366D0F">
        <w:tc>
          <w:tcPr>
            <w:tcW w:w="15451" w:type="dxa"/>
            <w:gridSpan w:val="8"/>
            <w:shd w:val="clear" w:color="auto" w:fill="auto"/>
          </w:tcPr>
          <w:p w:rsidR="006E19E5" w:rsidRPr="00366D0F" w:rsidRDefault="006E19E5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b/>
                <w:bCs/>
                <w:i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1.3. </w:t>
            </w:r>
            <w:r w:rsidR="00525889" w:rsidRPr="00366D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5889" w:rsidRPr="00366D0F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системы долговременного ухода за гражданами пожилого возраста и инвалидами, как составной части мероприятий, направленных на развитие и поддержание функциональных способностей граждан старшего поколения,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 и сиделок, а также поддержку семейного ухода</w:t>
            </w:r>
          </w:p>
        </w:tc>
      </w:tr>
      <w:tr w:rsidR="009A3279" w:rsidRPr="00366D0F">
        <w:trPr>
          <w:gridAfter w:val="1"/>
          <w:wAfter w:w="6" w:type="dxa"/>
          <w:trHeight w:val="4546"/>
        </w:trPr>
        <w:tc>
          <w:tcPr>
            <w:tcW w:w="999" w:type="dxa"/>
            <w:shd w:val="clear" w:color="auto" w:fill="auto"/>
          </w:tcPr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95" w:type="dxa"/>
            <w:shd w:val="clear" w:color="auto" w:fill="auto"/>
          </w:tcPr>
          <w:p w:rsidR="000A6CF6" w:rsidRPr="00366D0F" w:rsidRDefault="000A6CF6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стационарозамещающими формами социального обслуживания граждан пожилого возраста и инвалидов, нуждающихся в стационарном социальном обслуживании. Цель – </w:t>
            </w:r>
            <w:r w:rsidRPr="00366D0F">
              <w:rPr>
                <w:rFonts w:ascii="Times New Roman" w:hAnsi="Times New Roman"/>
                <w:sz w:val="24"/>
                <w:szCs w:val="24"/>
              </w:rPr>
              <w:t>развитие и расширение спектра предоставляемых социально-медицинских услуг на дому, повышение качества и продолжительности жизни пожилых людей и инвалидов, недопущение образования очередности в учреждения социального обслуживания.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0A6CF6" w:rsidRPr="00366D0F" w:rsidRDefault="000A6CF6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год- 66 чел.,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год- 99 чел.,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-132 чел.,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год- 165 чел.,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год- 1</w:t>
            </w:r>
            <w:r w:rsidR="00525889" w:rsidRPr="00366D0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 xml:space="preserve"> чел.,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год-1</w:t>
            </w:r>
            <w:r w:rsidR="00525889" w:rsidRPr="00366D0F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  <w:p w:rsidR="000A6CF6" w:rsidRPr="00366D0F" w:rsidRDefault="000A6CF6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В 2024 году д</w:t>
            </w: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остигнута цель </w:t>
            </w:r>
            <w:r w:rsidRPr="00366D0F">
              <w:rPr>
                <w:rFonts w:ascii="Times New Roman" w:hAnsi="Times New Roman"/>
                <w:sz w:val="24"/>
                <w:szCs w:val="24"/>
              </w:rPr>
              <w:t>недопущения образования очередности в учреждения социального обслуживания, повышено качество жизни у пожилых граждан, что способствовало увеличению продолжительности их жизни.</w:t>
            </w:r>
          </w:p>
        </w:tc>
        <w:tc>
          <w:tcPr>
            <w:tcW w:w="1125" w:type="dxa"/>
            <w:shd w:val="clear" w:color="auto" w:fill="auto"/>
          </w:tcPr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416B47" w:rsidRPr="00366D0F">
        <w:trPr>
          <w:gridAfter w:val="1"/>
          <w:wAfter w:w="6" w:type="dxa"/>
          <w:trHeight w:val="1054"/>
        </w:trPr>
        <w:tc>
          <w:tcPr>
            <w:tcW w:w="999" w:type="dxa"/>
            <w:shd w:val="clear" w:color="auto" w:fill="auto"/>
          </w:tcPr>
          <w:p w:rsidR="000A6CF6" w:rsidRPr="00366D0F" w:rsidRDefault="000A6CF6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5695" w:type="dxa"/>
            <w:shd w:val="clear" w:color="auto" w:fill="auto"/>
          </w:tcPr>
          <w:p w:rsidR="00291E53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0A6CF6" w:rsidRPr="00366D0F" w:rsidRDefault="000A6CF6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="00291E53"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0A6CF6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0A6CF6" w:rsidRPr="00366D0F" w:rsidRDefault="000A6CF6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0A6CF6" w:rsidRPr="00366D0F" w:rsidRDefault="00291E53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0A6CF6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2112"/>
        </w:trPr>
        <w:tc>
          <w:tcPr>
            <w:tcW w:w="999" w:type="dxa"/>
            <w:shd w:val="clear" w:color="auto" w:fill="auto"/>
          </w:tcPr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5695" w:type="dxa"/>
            <w:shd w:val="clear" w:color="auto" w:fill="auto"/>
          </w:tcPr>
          <w:p w:rsidR="00291E53" w:rsidRPr="00366D0F" w:rsidRDefault="00291E53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E160E4" w:rsidRPr="00366D0F" w:rsidRDefault="00E160E4" w:rsidP="00122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91E53" w:rsidRPr="00366D0F" w:rsidRDefault="00291E53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E53" w:rsidRPr="00366D0F" w:rsidRDefault="00291E53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291E53" w:rsidRPr="00366D0F" w:rsidRDefault="00291E53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291E53" w:rsidRPr="00366D0F" w:rsidRDefault="00291E53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  <w:trHeight w:val="1104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1.3.1.3.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  <w:trHeight w:val="996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1.3.1.4.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  <w:trHeight w:val="996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1.3.1.5.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  <w:trHeight w:val="996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1.3.1.6.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профессионального уровня специалистов социальных служб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</w:t>
            </w:r>
            <w:r w:rsidR="00FF4690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4690" w:rsidRPr="00366D0F" w:rsidRDefault="00FF46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год- 5 чел.,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год- 5 чел.,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-5 чел.,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год- 6 чел.,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год- 6 чел.,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год-6 чел.</w:t>
            </w:r>
          </w:p>
          <w:p w:rsidR="00E160E4" w:rsidRPr="00366D0F" w:rsidRDefault="00E160E4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 xml:space="preserve">К концу 2024 года обучено 33 </w:t>
            </w: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специалиста, участвую-щих в оказании социальных и медицинских услуг в рамках реализации системы долговременного ухода за гражданами пожилого возраста и инвалидами, что повысило качество социального обслуживания и эффективность долговремен-ного ухода, и способствует тому, что граждане, нуждающиеся в долговре-менном уходе,  сохранят посильную активность и благоприятные условия жизни.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A90290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695" w:type="dxa"/>
            <w:shd w:val="clear" w:color="auto" w:fill="auto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E160E4" w:rsidRPr="00366D0F" w:rsidRDefault="00E160E4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E160E4" w:rsidRPr="00366D0F" w:rsidRDefault="00E160E4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E160E4" w:rsidRPr="00366D0F" w:rsidRDefault="00E160E4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E160E4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B274DD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569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1409"/>
        </w:trPr>
        <w:tc>
          <w:tcPr>
            <w:tcW w:w="999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1.3.2.3.</w:t>
            </w:r>
          </w:p>
        </w:tc>
        <w:tc>
          <w:tcPr>
            <w:tcW w:w="569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416B47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1.3.2.4.</w:t>
            </w: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1.3.2.5.</w:t>
            </w:r>
          </w:p>
        </w:tc>
        <w:tc>
          <w:tcPr>
            <w:tcW w:w="569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A90290" w:rsidRPr="00366D0F" w:rsidRDefault="00A90290" w:rsidP="00122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A90290" w:rsidRPr="00366D0F" w:rsidRDefault="00A90290" w:rsidP="00122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  <w:p w:rsidR="00B274DD" w:rsidRPr="00366D0F" w:rsidRDefault="00B274DD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416B47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1.3.2.6.</w:t>
            </w:r>
          </w:p>
        </w:tc>
        <w:tc>
          <w:tcPr>
            <w:tcW w:w="569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416B47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1.3.2.7.</w:t>
            </w:r>
          </w:p>
        </w:tc>
        <w:tc>
          <w:tcPr>
            <w:tcW w:w="5695" w:type="dxa"/>
            <w:shd w:val="clear" w:color="auto" w:fill="auto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274D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0290" w:rsidRPr="00366D0F" w:rsidRDefault="00A90290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A90290" w:rsidRPr="00366D0F" w:rsidRDefault="00A90290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A90290" w:rsidRPr="00366D0F" w:rsidRDefault="00A90290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граждан, получивших социальные услуги посредством «мобильных бригад»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год- 100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год- 105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-110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год- 115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год- 120 чел.,</w:t>
            </w:r>
          </w:p>
          <w:p w:rsidR="009A3279" w:rsidRPr="00366D0F" w:rsidRDefault="009A3279" w:rsidP="007815F2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год-110 чел.</w:t>
            </w:r>
            <w:r w:rsidR="007815F2" w:rsidRPr="00366D0F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граждан, получивших социальные услуги посредством «мобильных бригад»,   на 01.01.2025 г., составило 660 человек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1.3.3.1.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1.3.3.2.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737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1.3.3.3.</w:t>
            </w:r>
          </w:p>
          <w:p w:rsidR="0012268B" w:rsidRPr="00366D0F" w:rsidRDefault="0012268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1166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1.3.3.4.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8B" w:rsidRPr="00366D0F" w:rsidRDefault="0012268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8B" w:rsidRPr="00366D0F" w:rsidRDefault="0012268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268B" w:rsidRPr="00366D0F" w:rsidRDefault="0012268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3279" w:rsidRPr="00366D0F">
        <w:trPr>
          <w:gridAfter w:val="1"/>
          <w:wAfter w:w="6" w:type="dxa"/>
          <w:trHeight w:val="1860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1.3.3.5.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9A3279" w:rsidRPr="00366D0F" w:rsidRDefault="009A3279" w:rsidP="001226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12268B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</w:t>
            </w:r>
            <w:r w:rsidR="0012268B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12268B" w:rsidRPr="00366D0F" w:rsidRDefault="0012268B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FC6FAB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пилотном проекте по созданию системы долговременного ухода за гражданами пожилого возраста и инвалидами, включающей сбалансированные социальное обслуживание и медицинскую помощь на дому, в полустационарной и стационарной форме с привлечением патронажной службы, а также по поддержке семейного ухода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01.01.2020</w:t>
            </w: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год- 66 чел.,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год- 99 чел.,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-132 чел.,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год- 165 чел.,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год- 198 чел.,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год-165 чел.</w:t>
            </w:r>
          </w:p>
          <w:p w:rsidR="009A3279" w:rsidRPr="00366D0F" w:rsidRDefault="00FC6FAB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 xml:space="preserve">К концу 2024 года количество человек, обеспеченных </w:t>
            </w: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стационарозамещающими формами социального обслуживания в рамках системы долговременного ухода, увеличилось до 198 в год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FC6FAB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1.3.4.1.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1.3.4.2.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FC6FAB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F426DE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5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6FAB" w:rsidRPr="00366D0F" w:rsidRDefault="00FC6FAB" w:rsidP="00FC6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FC6FAB" w:rsidRPr="00366D0F" w:rsidRDefault="00FC6FAB" w:rsidP="00FC6F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FC6FAB" w:rsidRPr="00366D0F" w:rsidRDefault="00FC6FAB" w:rsidP="00FC6F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FC6FAB" w:rsidRPr="00366D0F" w:rsidRDefault="00FC6FAB" w:rsidP="00FC6F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c>
          <w:tcPr>
            <w:tcW w:w="15451" w:type="dxa"/>
            <w:gridSpan w:val="8"/>
            <w:shd w:val="clear" w:color="auto" w:fill="auto"/>
          </w:tcPr>
          <w:p w:rsidR="009A3279" w:rsidRPr="00366D0F" w:rsidRDefault="009A3279" w:rsidP="001226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1.4.</w:t>
            </w:r>
            <w:r w:rsidRPr="00366D0F">
              <w:rPr>
                <w:b/>
                <w:i/>
              </w:rPr>
              <w:t> </w:t>
            </w:r>
            <w:r w:rsidRPr="00366D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Пропаганда здорового образа жизни, подбор индивидуальных программ физической активности на базе учреждения социального обслуживания с целью </w:t>
            </w:r>
            <w:r w:rsidRPr="00366D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формирования личностных предпосылок для адаптации к изменяющимся условиям жизни и мотивации на здоровье, побуждающих к активной жизни в социуме и способствующих увеличению ее продолжительности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Увеличение количества граждан пожилого возраста, участвующих в проектах, направленных на укрепление физического и психического здоровья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год- 60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год- 65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-80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год- 80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год- 85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год-85 чел.</w:t>
            </w:r>
          </w:p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Предпосылки к активному долголетию в 2024 году созданы у 85 человек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1.4.1.2.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1.4.1.3.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1.4.1.4.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1.4.1.5.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1.4.1.6.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1.4.1.7.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c>
          <w:tcPr>
            <w:tcW w:w="15451" w:type="dxa"/>
            <w:gridSpan w:val="8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 Приведение организаций социального обслуживания населения Куйбышевского района в надлежащее состояние и недопущение образования очередей в них</w:t>
            </w:r>
          </w:p>
        </w:tc>
      </w:tr>
      <w:tr w:rsidR="009A3279" w:rsidRPr="00366D0F">
        <w:trPr>
          <w:gridAfter w:val="1"/>
          <w:wAfter w:w="6" w:type="dxa"/>
          <w:trHeight w:val="841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работ по ремонту отделения милосердия для престарелых и инвалидов МБУ КЦСОН, в целях обеспечения безопасных и комфортных условий проживания.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  <w:t>01.01.2019</w:t>
            </w: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  <w:p w:rsidR="009A3279" w:rsidRPr="00366D0F" w:rsidRDefault="009A3279" w:rsidP="0012268B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Результат: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2019 год- 26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2020 год- 26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2021 год -26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2022 год- 26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2023 год- 26 чел.,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sz w:val="24"/>
                <w:szCs w:val="24"/>
              </w:rPr>
              <w:t>2024 год-26 чел.</w:t>
            </w:r>
          </w:p>
          <w:p w:rsidR="009A3279" w:rsidRPr="00366D0F" w:rsidRDefault="009A3279" w:rsidP="001226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К 2024 году улучшены условия проживания 26 граждан, находящихся в стационарном   отделении.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557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15.07.2019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557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557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15.07.2021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  <w:trHeight w:val="557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15.07.2022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15.07.2023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15.07.2024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  <w:tr w:rsidR="009A3279" w:rsidRPr="00366D0F">
        <w:trPr>
          <w:gridAfter w:val="1"/>
          <w:wAfter w:w="6" w:type="dxa"/>
        </w:trPr>
        <w:tc>
          <w:tcPr>
            <w:tcW w:w="99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5695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точка.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мониторинга достижения показателей районного плана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tLeast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15.12.2024</w:t>
            </w: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3279" w:rsidRPr="00366D0F" w:rsidRDefault="009A3279" w:rsidP="00122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МБУ КЦСОН 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Н.В.</w:t>
            </w:r>
          </w:p>
          <w:p w:rsidR="009A3279" w:rsidRPr="00366D0F" w:rsidRDefault="009A3279" w:rsidP="001226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shd w:val="clear" w:color="auto" w:fill="auto"/>
          </w:tcPr>
          <w:p w:rsidR="009A3279" w:rsidRPr="00366D0F" w:rsidRDefault="009A3279" w:rsidP="001226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Отчет по результатам мониторинга</w:t>
            </w:r>
          </w:p>
        </w:tc>
        <w:tc>
          <w:tcPr>
            <w:tcW w:w="1125" w:type="dxa"/>
            <w:shd w:val="clear" w:color="auto" w:fill="auto"/>
          </w:tcPr>
          <w:p w:rsidR="009A3279" w:rsidRPr="00366D0F" w:rsidRDefault="009A3279" w:rsidP="001226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ООСОН</w:t>
            </w:r>
          </w:p>
        </w:tc>
      </w:tr>
    </w:tbl>
    <w:p w:rsidR="00C04CD9" w:rsidRPr="00366D0F" w:rsidRDefault="00C04CD9" w:rsidP="00C04CD9">
      <w:pPr>
        <w:spacing w:after="0"/>
        <w:rPr>
          <w:vanish/>
        </w:rPr>
      </w:pP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17"/>
        <w:gridCol w:w="5811"/>
        <w:gridCol w:w="1278"/>
        <w:gridCol w:w="1277"/>
        <w:gridCol w:w="1844"/>
        <w:gridCol w:w="3117"/>
        <w:gridCol w:w="1136"/>
        <w:tblGridChange w:id="2">
          <w:tblGrid>
            <w:gridCol w:w="1017"/>
            <w:gridCol w:w="5811"/>
            <w:gridCol w:w="1278"/>
            <w:gridCol w:w="1277"/>
            <w:gridCol w:w="1844"/>
            <w:gridCol w:w="3117"/>
            <w:gridCol w:w="1136"/>
          </w:tblGrid>
        </w:tblGridChange>
      </w:tblGrid>
      <w:tr w:rsidR="006A3489" w:rsidRPr="00366D0F">
        <w:trPr>
          <w:trHeight w:val="672"/>
        </w:trPr>
        <w:tc>
          <w:tcPr>
            <w:tcW w:w="15480" w:type="dxa"/>
            <w:gridSpan w:val="7"/>
            <w:shd w:val="clear" w:color="auto" w:fill="auto"/>
            <w:vAlign w:val="center"/>
          </w:tcPr>
          <w:p w:rsidR="006A3489" w:rsidRPr="00366D0F" w:rsidRDefault="00B522FD" w:rsidP="00D15D8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="006A3489" w:rsidRPr="00366D0F"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ru-RU"/>
              </w:rPr>
              <w:t>.Численность граждан предпенсионного возраста, прошедших профессиональное обучение и дополнительное профессиональное образование</w:t>
            </w:r>
          </w:p>
        </w:tc>
      </w:tr>
      <w:tr w:rsidR="006A3489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6A3489" w:rsidRPr="00366D0F" w:rsidRDefault="00B522FD" w:rsidP="00D15D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A3489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11" w:type="dxa"/>
          </w:tcPr>
          <w:p w:rsidR="006A3489" w:rsidRPr="00366D0F" w:rsidRDefault="006A3489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социологического опроса с целью определения потребности граждан предпенсионного возраста в профессиональном обучении</w:t>
            </w:r>
          </w:p>
        </w:tc>
        <w:tc>
          <w:tcPr>
            <w:tcW w:w="1278" w:type="dxa"/>
          </w:tcPr>
          <w:p w:rsidR="006A3489" w:rsidRPr="00366D0F" w:rsidRDefault="006A3489" w:rsidP="00D15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A3489" w:rsidRPr="00366D0F" w:rsidRDefault="006A3489" w:rsidP="00D15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28.02.2019, далее -ежегодно</w:t>
            </w:r>
          </w:p>
          <w:p w:rsidR="006A3489" w:rsidRPr="00366D0F" w:rsidRDefault="006A3489" w:rsidP="00D15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6A3489" w:rsidRPr="00366D0F" w:rsidRDefault="006A3489" w:rsidP="00D15D8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6A3489" w:rsidRPr="00366D0F" w:rsidRDefault="006A3489" w:rsidP="00D15D8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6A3489" w:rsidRPr="00366D0F" w:rsidRDefault="006A3489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 по результатам опроса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D15D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6A3489" w:rsidRPr="00366D0F" w:rsidRDefault="006A3489" w:rsidP="00D15D8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планируемого высвобождения работников предпенсионного возраста в связи с ликвидацией организаций или сокращением численности персонала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2019-2024 годы</w:t>
            </w:r>
          </w:p>
          <w:p w:rsidR="00B522FD" w:rsidRPr="00366D0F" w:rsidRDefault="00B522FD" w:rsidP="00B52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Ежемесяч-но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Наумова Е.В.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Аналитические материалы по результатам мониторинга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Формирование состава участников мероприятия 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2019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профессиональной ориентации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2019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по профессиональной ориентации 17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гражданам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 17 граждан предпенсионного возраста из числа работников организаций и ищущих работу граждан, обратившихся в органы службы занятости, в 2019 году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17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Сформировать состав участников мероприятия 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2020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профессиональную ориентацию г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2020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оказаны услуги по профессиональной ориентации 34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гражданам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 17 граждан предпенсионного возраста из числа работников организаций и ищущих работу граждан, обратившихся в органы службы занятости, в 2019 -2020 годах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обучение 34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 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Сформировать состав участников мероприятий (работники организаций; ищущие работу граждане, обратившиеся в органы службы занятости) для направления на  профессиональное обучение и дополнительное профессиональное образование  в 2021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профессиональную ориентацию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2021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01.06.2021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оказаны услуги по профессиональной ориентации 51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гражданину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образование17 граждан предпенсионного возраста из числа работников организаций и ищущих работу граждан, обратившихся в органы службы занятости, в 2019-2021 годах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51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гражданина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1695"/>
        </w:trPr>
        <w:tc>
          <w:tcPr>
            <w:tcW w:w="10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Сформировать состав участников мероприятия 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2022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профессиональную ориентацию и профилирование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2022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2019 года оказаны услуги по профессиональной ориентации 68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гражданам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 17 граждан предпенсионного возраста из числа работников организаций и ищущих работу граждан, обратившихся в органы службы занятости, в 2019-2022 годах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обучение 68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 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Сформировать состав участников мероприятия 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2023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профессиональную ориентацию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2023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оказаны услуги по профессиональной ориентации 85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гражданам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 17 граждан предпенсионного возраста из числа работников организаций и ищущих работу граждан, обратившихся в органы службы занятости, в 2019-2023 годах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2019 года обучение85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Сформировать состав участников мероприятий (работники организаций; ищущие работу граждане, обратившиеся в органы службы занятости) для направления на профессиональное обучение и дополнительное профессиональное образование в 2024 году 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Список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состава участников мероприятий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профессиональную ориентацию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 по профессиям (навыкам, компетенциям) в целях подбора соответствующей программы профессионального обучения и дополнительного профессионального образования в 2024 году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2019 года оказаны услуги по профессиональной ориентации 102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гражданам 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.20.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Организовать профессиональное обучение и дополнительное профессиональное образование 17 граждан предпенсионного возраста из числа работников организаций и ищущих работу граждан, обратившихся в органы службы занятости, в 2019-2024 годах</w:t>
            </w:r>
          </w:p>
        </w:tc>
        <w:tc>
          <w:tcPr>
            <w:tcW w:w="1278" w:type="dxa"/>
            <w:vAlign w:val="center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2019 года обучение 102 </w:t>
            </w: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граждан предпенсионного возраста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B522FD" w:rsidRPr="00366D0F">
        <w:trPr>
          <w:trHeight w:val="435"/>
        </w:trPr>
        <w:tc>
          <w:tcPr>
            <w:tcW w:w="1017" w:type="dxa"/>
            <w:shd w:val="clear" w:color="auto" w:fill="auto"/>
          </w:tcPr>
          <w:p w:rsidR="00B522FD" w:rsidRPr="00366D0F" w:rsidRDefault="00ED31C7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522FD"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.21</w:t>
            </w:r>
          </w:p>
        </w:tc>
        <w:tc>
          <w:tcPr>
            <w:tcW w:w="5811" w:type="dxa"/>
          </w:tcPr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мониторинг реализации мероприятий по профессиональному обучению и дополнительному профессиональному образованию граждан предпенсионного возраста в целях оценки достижения показателей результативности в 2019-2024 годах</w:t>
            </w:r>
          </w:p>
        </w:tc>
        <w:tc>
          <w:tcPr>
            <w:tcW w:w="1278" w:type="dxa"/>
          </w:tcPr>
          <w:p w:rsidR="00B522FD" w:rsidRPr="00366D0F" w:rsidRDefault="00B522FD" w:rsidP="00B52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522FD" w:rsidRPr="00366D0F" w:rsidRDefault="00B522FD" w:rsidP="00B52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01.01.2020, далее -ежегодно</w:t>
            </w:r>
          </w:p>
        </w:tc>
        <w:tc>
          <w:tcPr>
            <w:tcW w:w="1844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ГКУ НСО ЦЗН г.Куйбышева</w:t>
            </w:r>
          </w:p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 Е.С.</w:t>
            </w:r>
          </w:p>
        </w:tc>
        <w:tc>
          <w:tcPr>
            <w:tcW w:w="3117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в Минтруда и социального развития НСО</w:t>
            </w:r>
          </w:p>
        </w:tc>
        <w:tc>
          <w:tcPr>
            <w:tcW w:w="1136" w:type="dxa"/>
            <w:shd w:val="clear" w:color="auto" w:fill="auto"/>
          </w:tcPr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B522FD" w:rsidRPr="00366D0F" w:rsidRDefault="00B522FD" w:rsidP="00B522FD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</w:tbl>
    <w:p w:rsidR="006A3489" w:rsidRPr="00366D0F" w:rsidRDefault="006A3489" w:rsidP="006A3489">
      <w:pPr>
        <w:spacing w:after="0" w:line="12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A3489" w:rsidRPr="00366D0F" w:rsidRDefault="006A3489" w:rsidP="006A34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E49CD" w:rsidRPr="00366D0F" w:rsidRDefault="00DE49CD" w:rsidP="00DE49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6D0F">
        <w:rPr>
          <w:rFonts w:ascii="Times New Roman" w:hAnsi="Times New Roman"/>
          <w:b/>
          <w:sz w:val="28"/>
          <w:szCs w:val="28"/>
        </w:rPr>
        <w:t xml:space="preserve">План мероприятий по реализации регионального проекта </w:t>
      </w:r>
    </w:p>
    <w:p w:rsidR="00DE49CD" w:rsidRPr="00366D0F" w:rsidRDefault="00DE49CD" w:rsidP="00DE49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0F">
        <w:rPr>
          <w:rFonts w:ascii="Times New Roman" w:hAnsi="Times New Roman"/>
          <w:b/>
          <w:sz w:val="28"/>
          <w:szCs w:val="28"/>
        </w:rPr>
        <w:t xml:space="preserve"> «Содействие занятости женщин - создание условий дошкольного образования для детей в возрасте до трех лет»</w:t>
      </w:r>
      <w:r w:rsidR="00E35F78" w:rsidRPr="00366D0F">
        <w:rPr>
          <w:rFonts w:ascii="Times New Roman" w:hAnsi="Times New Roman"/>
          <w:b/>
          <w:sz w:val="28"/>
          <w:szCs w:val="28"/>
        </w:rPr>
        <w:t xml:space="preserve"> в Куйбышевском районе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86"/>
        <w:gridCol w:w="1418"/>
        <w:gridCol w:w="1417"/>
        <w:gridCol w:w="2127"/>
        <w:gridCol w:w="2356"/>
        <w:gridCol w:w="19"/>
        <w:gridCol w:w="1594"/>
      </w:tblGrid>
      <w:tr w:rsidR="00DE49CD" w:rsidRPr="00366D0F">
        <w:trPr>
          <w:cantSplit/>
          <w:trHeight w:val="3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E49CD" w:rsidRPr="00366D0F" w:rsidRDefault="00DE49CD" w:rsidP="00D15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Вид документа и (или) результат</w:t>
            </w:r>
          </w:p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 w:val="restart"/>
            <w:shd w:val="clear" w:color="auto" w:fill="auto"/>
            <w:vAlign w:val="center"/>
          </w:tcPr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94" w:type="dxa"/>
            <w:vMerge w:val="restart"/>
            <w:vAlign w:val="center"/>
          </w:tcPr>
          <w:p w:rsidR="00DE49CD" w:rsidRPr="00366D0F" w:rsidRDefault="00DE49CD" w:rsidP="00D15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Уровень контроля</w:t>
            </w:r>
          </w:p>
        </w:tc>
      </w:tr>
      <w:tr w:rsidR="00DE49CD" w:rsidRPr="00366D0F">
        <w:trPr>
          <w:cantSplit/>
          <w:trHeight w:val="344"/>
        </w:trPr>
        <w:tc>
          <w:tcPr>
            <w:tcW w:w="959" w:type="dxa"/>
            <w:vMerge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shd w:val="clear" w:color="auto" w:fill="auto"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vAlign w:val="center"/>
          </w:tcPr>
          <w:p w:rsidR="00DE49CD" w:rsidRPr="00366D0F" w:rsidRDefault="00DE49CD" w:rsidP="00D15D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792" w:rsidRPr="00366D0F">
        <w:trPr>
          <w:cantSplit/>
          <w:trHeight w:val="318"/>
        </w:trPr>
        <w:tc>
          <w:tcPr>
            <w:tcW w:w="15276" w:type="dxa"/>
            <w:gridSpan w:val="8"/>
            <w:shd w:val="clear" w:color="auto" w:fill="auto"/>
            <w:vAlign w:val="center"/>
          </w:tcPr>
          <w:p w:rsidR="00FF7792" w:rsidRPr="00366D0F" w:rsidRDefault="00FF7792" w:rsidP="00FF7792">
            <w:pPr>
              <w:spacing w:after="0" w:line="240" w:lineRule="auto"/>
              <w:rPr>
                <w:rFonts w:ascii="Times New Roman" w:hAnsi="Times New Roman"/>
                <w:b/>
                <w:i/>
                <w:color w:val="020C22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i/>
                <w:color w:val="020C22"/>
                <w:sz w:val="24"/>
                <w:szCs w:val="24"/>
              </w:rPr>
              <w:t xml:space="preserve">                                            1.Численность женщин, находящихся в отпуске по уходу за ребенком в возрасте до трех лет,</w:t>
            </w:r>
          </w:p>
          <w:p w:rsidR="00FF7792" w:rsidRPr="00366D0F" w:rsidRDefault="00FF7792" w:rsidP="00FF779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66D0F">
              <w:rPr>
                <w:rFonts w:ascii="Times New Roman" w:hAnsi="Times New Roman"/>
                <w:b/>
                <w:i/>
                <w:color w:val="020C22"/>
                <w:sz w:val="24"/>
                <w:szCs w:val="24"/>
              </w:rPr>
              <w:t>прошедших профессиональное обучение и дополнительное профессиональное образование</w:t>
            </w:r>
          </w:p>
        </w:tc>
      </w:tr>
      <w:tr w:rsidR="00A8269E" w:rsidRPr="00366D0F">
        <w:trPr>
          <w:cantSplit/>
          <w:trHeight w:val="1414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социологического опроса и анализ статистических данных в целях определения потребности женщин, воспитывающих детей, в профессиональном обучении в Куйбышевском районе Новосибирской области.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01.08.2019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Аналитические материалы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74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Определение перечня наиболее востребованных профессий (навыков, компетенций) на рынке труда для обучения женщин, находящихся в отпуске по уходу за ребенком в возрасте до трех лет.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01.10.2019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30.11.2019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Перечень наиболее востребованных профессий на рынке труда для обучения женщин, находящихся в отпуске по уходу за ребенком в возрасте до трех лет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74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Формирование перечня образовательных организаций, реализующих учебные программы, востребованные женщинами, находящимися в отпуске по уходу за ребенком до достижения им возраста трех лет, для профессиональной подготовки, переподготовки и повышения квалификации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01.12.2019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31.12.2019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Реестр образовательных организаций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561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2020 году информирования женщин в период отпуска по уходу за ребенком до достижения им возраста трёх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01.01.2020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31.12.2020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Феденкова Л.М.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970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предоставления в 2020 году профориентационных услуг для женщин в период отпуска по уходу за ребенком до достижения им возраста трёх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01.01.2020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31.12.2020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121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1.6.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в 2020 году прохождения переобучения и повышения квалификации женщин в период отпуска по уходу за ребенком в возрасте до трех лет, в том числе с применением дистанционного метода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01.02.2020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31.12.2020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100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1.7.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мониторинга прохождения переобучения и повышения квалификации женщин в период отпуска по уходу за ребенком в возрасте до трех лет за 2020 год.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Отчет в Минтруда и соцразвития НСО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 xml:space="preserve">Управление занятости населения 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Мишкинов А.В.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09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1.8.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2021 году информирования женщин в период отпуска по уходу за ребенком до достижения им возраста трёх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Феденкова Л.М.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111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1.9.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2021 году предоставления профориентационных услуг для женщин в период отпуска по уходу за ребенком до достижения им возраста трёх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01.01.2021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255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1.10.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в 2021 году прохождения переобучения и повышения квалификации женщин в период отпуска по уходу за ребенком в возрасте до трех лет,</w:t>
            </w:r>
            <w:r w:rsidRPr="00366D0F">
              <w:t xml:space="preserve"> </w:t>
            </w: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в том числе с применением дистанционного метода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01.02.2021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31.12.2021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262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1.11.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Мониторинг прохождения переобучения и повышения квалификации женщин в период отпуска по уходу за ребенком в возрасте до трех лет за 2021 год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Отчет в Минтруда и соцразвития НСО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Управление занятости населения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Мишкинов А.В.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09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1.12.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2022 году информирования женщин в период отпуска по уходу за ребенком до достижения им возраста трёх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Феденкова Л.М.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052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1.13.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2022 году предоставления профориентационных услуг для женщин в период отпуска по уходу за ребенком до достижения им возраста трёх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01.01.2022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147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1.14.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в 2022 году прохождения переобучения и повышения квалификации женщин в период отпуска по уходу за ребенком в возрасте до трех лет, в том числе с применением дистанционного метода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01.02.2022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31.12.2022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213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1.15.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Мониторинг прохождения переобучения и повышения квалификации женщин в период отпуска по уходу за ребенком в возрасте до трех лет за 2022 год.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01.01.2023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Отчет в Минтруда и соцразвития НСО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Управление занятости населения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Мишкинов А.В.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09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1.16.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2023 году информирования женщин в период отпуска по уходу за ребенком до достижения им возраста трёх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01.01.2023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31.12.2023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Феденкова Л.М.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076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1.17.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2023 году предоставления профориентационных услуг для женщин в период отпуска по уходу за ребенком до достижения им возраста трёх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01.01.2023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31.12.2023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262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1.18.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в 2023 году прохождения переобучения и повышения квалификации женщин в период отпуска по уходу за ребенком в возрасте до трех лет, в том числе с применением дистанционного метода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01.02.2023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31.12.2023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913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1.19.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Мониторинг прохождения переобучения и повышения квалификации женщин в период отпуска по уходу за ребенком в возрасте до трех лет за 2023 год.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01.01.2024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Отчет в Минтруда и соцразвития НСО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Управление занятости населения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Мишкинов А.В.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909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1.20.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2024 году информирования женщин в период отпуска по уходу за ребенком до достижения им возраста трёх лет о ситуации на рынке труда и возможности прохождения профессионального обучения и получения дополнительного профессионального образования по востребованным профессиям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01.01.2024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31.12.2024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Феденкова Л.М.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006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1.21.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Организация в 2024 году предоставления профориентационных услуг для женщин в период отпуска по уходу за ребенком до достижения им возраста трёх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01.01.2024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31.12.2024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1075"/>
        </w:trPr>
        <w:tc>
          <w:tcPr>
            <w:tcW w:w="959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1.22.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Организация в 2024 году прохождения переобучения и повышения квалификации женщин в период отпуска по уходу за ребенком в возрасте до трех лет, в том числе с применением дистанционного метода обучения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 xml:space="preserve">01.02.2024 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sz w:val="24"/>
                <w:szCs w:val="28"/>
              </w:rPr>
              <w:t>31.12.2024</w:t>
            </w: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8269E" w:rsidRPr="00366D0F" w:rsidRDefault="00A8269E" w:rsidP="00A826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Лукьяненко Е.С.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A8269E" w:rsidRPr="00366D0F">
        <w:trPr>
          <w:cantSplit/>
          <w:trHeight w:val="979"/>
        </w:trPr>
        <w:tc>
          <w:tcPr>
            <w:tcW w:w="959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5386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66D0F">
              <w:rPr>
                <w:rFonts w:ascii="Times New Roman" w:hAnsi="Times New Roman"/>
                <w:color w:val="000000"/>
                <w:sz w:val="24"/>
                <w:szCs w:val="28"/>
              </w:rPr>
              <w:t>Мониторинг прохождения переобучения и повышения квалификации женщин в период отпуска по уходу за ребенком в возрасте до трех лет за 2024 год.</w:t>
            </w:r>
          </w:p>
        </w:tc>
        <w:tc>
          <w:tcPr>
            <w:tcW w:w="1418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417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66D0F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  <w:t>01.01.2025</w:t>
            </w:r>
          </w:p>
        </w:tc>
        <w:tc>
          <w:tcPr>
            <w:tcW w:w="2127" w:type="dxa"/>
            <w:shd w:val="clear" w:color="auto" w:fill="auto"/>
          </w:tcPr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Отчет в Минтруда и соцразвития НСО</w:t>
            </w:r>
          </w:p>
          <w:p w:rsidR="00A8269E" w:rsidRPr="00366D0F" w:rsidRDefault="00A8269E" w:rsidP="00A8269E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</w:pPr>
            <w:r w:rsidRPr="00366D0F">
              <w:rPr>
                <w:rFonts w:ascii="Times New Roman" w:eastAsia="Arial Unicode MS" w:hAnsi="Times New Roman"/>
                <w:bCs/>
                <w:color w:val="000000"/>
                <w:sz w:val="24"/>
                <w:szCs w:val="28"/>
                <w:u w:color="000000"/>
              </w:rPr>
              <w:t>Управление занятости населения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ЦЗН г.Куйбышева</w:t>
            </w:r>
          </w:p>
          <w:p w:rsidR="00A8269E" w:rsidRPr="00366D0F" w:rsidRDefault="00A8269E" w:rsidP="00A826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Мишкинов А.В.</w:t>
            </w:r>
          </w:p>
        </w:tc>
        <w:tc>
          <w:tcPr>
            <w:tcW w:w="1594" w:type="dxa"/>
          </w:tcPr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ГКУ НСО ЦЗН г.Куйбы-шева</w:t>
            </w:r>
          </w:p>
          <w:p w:rsidR="00A8269E" w:rsidRPr="00366D0F" w:rsidRDefault="00A8269E" w:rsidP="00A8269E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Никулина Т.Л.</w:t>
            </w:r>
          </w:p>
        </w:tc>
      </w:tr>
      <w:tr w:rsidR="00FF7792" w:rsidRPr="00366D0F">
        <w:trPr>
          <w:cantSplit/>
        </w:trPr>
        <w:tc>
          <w:tcPr>
            <w:tcW w:w="15276" w:type="dxa"/>
            <w:gridSpan w:val="8"/>
            <w:shd w:val="clear" w:color="auto" w:fill="auto"/>
            <w:vAlign w:val="center"/>
          </w:tcPr>
          <w:p w:rsidR="00FF7792" w:rsidRPr="00366D0F" w:rsidRDefault="00FF7792" w:rsidP="00FF779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2. Создание дополнительных мест для детей в возрасте до 3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</w:p>
        </w:tc>
      </w:tr>
      <w:tr w:rsidR="00D15D8A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8A" w:rsidRPr="00366D0F" w:rsidRDefault="00D15D8A" w:rsidP="00D15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8A" w:rsidRPr="00366D0F" w:rsidRDefault="00D15D8A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Создано к концу 2019 года 5 дополнительных мест для детей в возрасте от 2 месяцев до 3 лет за счет средств федерального, областного и местных бюджетов</w:t>
            </w: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8A" w:rsidRPr="00366D0F" w:rsidRDefault="00D15D8A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01.01.2019</w:t>
            </w: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8A" w:rsidRPr="00366D0F" w:rsidRDefault="00D15D8A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31.12.2019</w:t>
            </w: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792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977A16" w:rsidRPr="00366D0F" w:rsidRDefault="00977A16" w:rsidP="00D15D8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8A" w:rsidRPr="00366D0F" w:rsidRDefault="0021050E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8A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15D8A" w:rsidRPr="00366D0F" w:rsidRDefault="00D15D8A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792" w:rsidRPr="00366D0F" w:rsidRDefault="00FF7792" w:rsidP="00D15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44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в 2020 году 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субъектов Российской Федерации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01.01.2020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31.12.2020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44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Созданы в 2021 году 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субъектов Российской Федерации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31.12.2021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44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Созданы в 2022 году 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субъектов Российской Федерации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01.01.2022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31.12.2022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44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Созданы в 2023 году 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субъектов Российской Федерации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01.01.2023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31.12.2023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44" w:rsidRPr="00366D0F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Созданы в 2024 году 5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субъектов Российской Федерации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  <w:r w:rsidRPr="00366D0F"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  <w:t>31.12.2024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Отчет в Министерство образования НСО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Куйбышевского района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УО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Орлова Л.В.</w:t>
            </w: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5A44" w:rsidRPr="00366D0F" w:rsidRDefault="00DF5A44" w:rsidP="00DF5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E49CD" w:rsidRPr="00366D0F" w:rsidRDefault="00DE49CD" w:rsidP="00DE49CD">
      <w:pPr>
        <w:spacing w:after="0" w:line="240" w:lineRule="auto"/>
        <w:jc w:val="both"/>
        <w:rPr>
          <w:rFonts w:ascii="Times New Roman" w:hAnsi="Times New Roman"/>
          <w:b/>
          <w:color w:val="44546A"/>
          <w:sz w:val="28"/>
          <w:szCs w:val="28"/>
        </w:rPr>
      </w:pPr>
    </w:p>
    <w:p w:rsidR="00DE49CD" w:rsidRPr="00366D0F" w:rsidRDefault="00DE49CD" w:rsidP="006A3489"/>
    <w:p w:rsidR="00D23410" w:rsidRPr="00366D0F" w:rsidRDefault="00D23410" w:rsidP="00D23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0F">
        <w:rPr>
          <w:rFonts w:ascii="Times New Roman" w:hAnsi="Times New Roman"/>
          <w:b/>
          <w:sz w:val="28"/>
          <w:szCs w:val="28"/>
        </w:rPr>
        <w:t xml:space="preserve">План мероприятий по реализации регионального проекта </w:t>
      </w:r>
    </w:p>
    <w:p w:rsidR="00D23410" w:rsidRPr="00366D0F" w:rsidRDefault="00D23410" w:rsidP="00D23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D0F">
        <w:rPr>
          <w:rFonts w:ascii="Times New Roman" w:hAnsi="Times New Roman"/>
          <w:b/>
          <w:sz w:val="28"/>
          <w:szCs w:val="28"/>
        </w:rPr>
        <w:t>«Финансовая поддержка семей при рождении детей»  через ГКУ НСО ЦСПН Куйбышевского района</w:t>
      </w:r>
    </w:p>
    <w:tbl>
      <w:tblPr>
        <w:tblW w:w="15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394"/>
        <w:gridCol w:w="1420"/>
        <w:gridCol w:w="1419"/>
        <w:gridCol w:w="2129"/>
        <w:gridCol w:w="2378"/>
        <w:gridCol w:w="1595"/>
      </w:tblGrid>
      <w:tr w:rsidR="002B0B4C" w:rsidRPr="00366D0F">
        <w:trPr>
          <w:cantSplit/>
          <w:trHeight w:val="18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B0B4C" w:rsidRPr="00366D0F" w:rsidRDefault="002B0B4C" w:rsidP="00C04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94" w:type="dxa"/>
            <w:vMerge w:val="restart"/>
            <w:shd w:val="clear" w:color="auto" w:fill="auto"/>
            <w:vAlign w:val="center"/>
          </w:tcPr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Вид документа и (или) результат</w:t>
            </w:r>
          </w:p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595" w:type="dxa"/>
            <w:vMerge w:val="restart"/>
            <w:vAlign w:val="center"/>
          </w:tcPr>
          <w:p w:rsidR="002B0B4C" w:rsidRPr="00366D0F" w:rsidRDefault="002B0B4C" w:rsidP="00C0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Уровень контроля</w:t>
            </w:r>
          </w:p>
        </w:tc>
      </w:tr>
      <w:tr w:rsidR="002B0B4C" w:rsidRPr="00366D0F">
        <w:trPr>
          <w:cantSplit/>
          <w:trHeight w:val="183"/>
        </w:trPr>
        <w:tc>
          <w:tcPr>
            <w:tcW w:w="959" w:type="dxa"/>
            <w:vMerge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vMerge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129" w:type="dxa"/>
            <w:vMerge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B0B4C" w:rsidRPr="00366D0F" w:rsidRDefault="002B0B4C" w:rsidP="00C04C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4C" w:rsidRPr="00366D0F">
        <w:trPr>
          <w:cantSplit/>
          <w:trHeight w:val="2861"/>
        </w:trPr>
        <w:tc>
          <w:tcPr>
            <w:tcW w:w="959" w:type="dxa"/>
            <w:shd w:val="clear" w:color="auto" w:fill="auto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Предоставления ежемесячной денежной выплаты в размере прожиточного минимума для детей, установленного на территории Новосибирской области, при рождении после 31.12.2012 3-го и последующих детей в многодетных семьях, имеющих среднедушевой доход ниже среднедушевого дохода, установленного для данной цели, до достижения ребенком 3-х летнего возраста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Федеральное и региональное законодательство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«Центр социальной поддержки населения Куйбышевского района»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МТиСР НСО</w:t>
            </w: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D234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4C" w:rsidRPr="00366D0F">
        <w:trPr>
          <w:cantSplit/>
          <w:trHeight w:val="3262"/>
        </w:trPr>
        <w:tc>
          <w:tcPr>
            <w:tcW w:w="95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:rsidR="002B0B4C" w:rsidRPr="00366D0F" w:rsidRDefault="002B0B4C" w:rsidP="00AC4F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Предоставление дополнительной меры социальной поддержки многодетных семей на территории Новосибирской области, обеспечивающая многодетным семьям возможность улучшения жилищных условий, получения образования ребенком (детьми), социальной адаптации и интеграции в общество ребенка-инвалида (детей-инвалидов), формиро-вания накопительной пенсии, приобретения автотранспорта, сельскохозяйственной техники, оборудования для сельскохозяйственного производства (реализация средствами областного семейного капитала)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Федеральное и региональное законодательство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«Центр социальной поддержки населения Куйбышевского района»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МТиСР НСО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4C" w:rsidRPr="00366D0F">
        <w:trPr>
          <w:cantSplit/>
          <w:trHeight w:val="183"/>
        </w:trPr>
        <w:tc>
          <w:tcPr>
            <w:tcW w:w="95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Поддержка молодой семьи путем предоставления дополнительное пособие при рождении ребенка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Федеральное и региональное законодательство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«Центр социальной поддержки населения Куйбышевского района»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МТиСР НСО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4C" w:rsidRPr="00CE6849">
        <w:trPr>
          <w:cantSplit/>
          <w:trHeight w:val="183"/>
        </w:trPr>
        <w:tc>
          <w:tcPr>
            <w:tcW w:w="95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4" w:type="dxa"/>
            <w:shd w:val="clear" w:color="auto" w:fill="auto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 xml:space="preserve">Оказание финансовой поддержки семьям, имеющим первого ребенка (рожденного с 01.01.2018г.) в возрасте до 1,5 лет, в которых среднедушевой доход на каждого члена семьи не превышает 1,5-кратную величину прожиточного минимума трудоспособного населения.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Федеральное и региональное законодательство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ГКУ НСО «Центр социальной поддержки населения Куйбышевского района»</w:t>
            </w: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366D0F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B0B4C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D0F">
              <w:rPr>
                <w:rFonts w:ascii="Times New Roman" w:hAnsi="Times New Roman"/>
                <w:sz w:val="24"/>
                <w:szCs w:val="24"/>
              </w:rPr>
              <w:t>МТиСР НСО</w:t>
            </w:r>
          </w:p>
          <w:p w:rsidR="002B0B4C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B4C" w:rsidRPr="00CE6849" w:rsidRDefault="002B0B4C" w:rsidP="00AC4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6B7F" w:rsidRDefault="00246B7F" w:rsidP="006A3489"/>
    <w:p w:rsidR="006A5733" w:rsidRDefault="006A5733" w:rsidP="006A3489"/>
    <w:p w:rsidR="006A5733" w:rsidRDefault="006A5733" w:rsidP="006A3489"/>
    <w:p w:rsidR="006A5733" w:rsidRDefault="006A5733" w:rsidP="006A3489"/>
    <w:p w:rsidR="006A5733" w:rsidRDefault="006A5733" w:rsidP="006A3489"/>
    <w:p w:rsidR="006A5733" w:rsidRDefault="006A5733" w:rsidP="006A3489"/>
    <w:p w:rsidR="00D57056" w:rsidRPr="002B1D16" w:rsidRDefault="00D57056" w:rsidP="00D57056">
      <w:pPr>
        <w:spacing w:after="0"/>
        <w:rPr>
          <w:vanish/>
        </w:rPr>
      </w:pPr>
    </w:p>
    <w:sectPr w:rsidR="00D57056" w:rsidRPr="002B1D16" w:rsidSect="00977A16">
      <w:headerReference w:type="default" r:id="rId7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58" w:rsidRDefault="00D52D58">
      <w:pPr>
        <w:spacing w:after="0" w:line="240" w:lineRule="auto"/>
      </w:pPr>
      <w:r>
        <w:separator/>
      </w:r>
    </w:p>
  </w:endnote>
  <w:endnote w:type="continuationSeparator" w:id="1">
    <w:p w:rsidR="00D52D58" w:rsidRDefault="00D5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58" w:rsidRDefault="00D52D58">
      <w:pPr>
        <w:spacing w:after="0" w:line="240" w:lineRule="auto"/>
      </w:pPr>
      <w:r>
        <w:separator/>
      </w:r>
    </w:p>
  </w:footnote>
  <w:footnote w:type="continuationSeparator" w:id="1">
    <w:p w:rsidR="00D52D58" w:rsidRDefault="00D5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5AA" w:rsidRDefault="00C455AA">
    <w:pPr>
      <w:pStyle w:val="aa"/>
      <w:jc w:val="center"/>
    </w:pPr>
    <w:fldSimple w:instr="PAGE   \* MERGEFORMAT">
      <w:r w:rsidR="00597F65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73A"/>
    <w:multiLevelType w:val="multilevel"/>
    <w:tmpl w:val="6CAA1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BE1449"/>
    <w:multiLevelType w:val="multilevel"/>
    <w:tmpl w:val="CAB62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042EB8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45ED8"/>
    <w:multiLevelType w:val="hybridMultilevel"/>
    <w:tmpl w:val="6820FAA4"/>
    <w:lvl w:ilvl="0" w:tplc="9B70AA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0182B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5613C6"/>
    <w:multiLevelType w:val="multilevel"/>
    <w:tmpl w:val="A8BCE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7B7F18"/>
    <w:multiLevelType w:val="multilevel"/>
    <w:tmpl w:val="879CD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5835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8916C8"/>
    <w:multiLevelType w:val="hybridMultilevel"/>
    <w:tmpl w:val="73AAD232"/>
    <w:lvl w:ilvl="0" w:tplc="3FF4C34A">
      <w:start w:val="1"/>
      <w:numFmt w:val="decimal"/>
      <w:lvlText w:val="%1.2.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A2A4705"/>
    <w:multiLevelType w:val="multilevel"/>
    <w:tmpl w:val="B10C9714"/>
    <w:lvl w:ilvl="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000000"/>
      </w:rPr>
    </w:lvl>
  </w:abstractNum>
  <w:abstractNum w:abstractNumId="10">
    <w:nsid w:val="2B5B7C9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2F13D9"/>
    <w:multiLevelType w:val="multilevel"/>
    <w:tmpl w:val="879CD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0551B3"/>
    <w:multiLevelType w:val="multilevel"/>
    <w:tmpl w:val="96CEF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36F3CB5"/>
    <w:multiLevelType w:val="multilevel"/>
    <w:tmpl w:val="466AD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47A4CD1"/>
    <w:multiLevelType w:val="multilevel"/>
    <w:tmpl w:val="0F349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6E86331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72354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B34552A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600B55"/>
    <w:multiLevelType w:val="hybridMultilevel"/>
    <w:tmpl w:val="40103A84"/>
    <w:lvl w:ilvl="0" w:tplc="05E0B61E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9">
    <w:nsid w:val="52FD09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17693D"/>
    <w:multiLevelType w:val="multilevel"/>
    <w:tmpl w:val="AD205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2A775E4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8031358"/>
    <w:multiLevelType w:val="hybridMultilevel"/>
    <w:tmpl w:val="EDF4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B2CDD"/>
    <w:multiLevelType w:val="hybridMultilevel"/>
    <w:tmpl w:val="E1D8C358"/>
    <w:lvl w:ilvl="0" w:tplc="DFD4557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45C0C"/>
    <w:multiLevelType w:val="multilevel"/>
    <w:tmpl w:val="617C5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7913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2D936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D402D7"/>
    <w:multiLevelType w:val="hybridMultilevel"/>
    <w:tmpl w:val="737C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9"/>
  </w:num>
  <w:num w:numId="5">
    <w:abstractNumId w:val="26"/>
  </w:num>
  <w:num w:numId="6">
    <w:abstractNumId w:val="1"/>
  </w:num>
  <w:num w:numId="7">
    <w:abstractNumId w:val="20"/>
  </w:num>
  <w:num w:numId="8">
    <w:abstractNumId w:val="6"/>
  </w:num>
  <w:num w:numId="9">
    <w:abstractNumId w:val="25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14"/>
  </w:num>
  <w:num w:numId="16">
    <w:abstractNumId w:val="19"/>
  </w:num>
  <w:num w:numId="17">
    <w:abstractNumId w:val="13"/>
  </w:num>
  <w:num w:numId="18">
    <w:abstractNumId w:val="18"/>
  </w:num>
  <w:num w:numId="19">
    <w:abstractNumId w:val="8"/>
  </w:num>
  <w:num w:numId="20">
    <w:abstractNumId w:val="23"/>
  </w:num>
  <w:num w:numId="21">
    <w:abstractNumId w:val="7"/>
  </w:num>
  <w:num w:numId="22">
    <w:abstractNumId w:val="16"/>
  </w:num>
  <w:num w:numId="23">
    <w:abstractNumId w:val="24"/>
  </w:num>
  <w:num w:numId="24">
    <w:abstractNumId w:val="21"/>
  </w:num>
  <w:num w:numId="25">
    <w:abstractNumId w:val="15"/>
  </w:num>
  <w:num w:numId="26">
    <w:abstractNumId w:val="17"/>
  </w:num>
  <w:num w:numId="27">
    <w:abstractNumId w:val="2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35"/>
    <w:rsid w:val="00012392"/>
    <w:rsid w:val="00077234"/>
    <w:rsid w:val="000854EA"/>
    <w:rsid w:val="0009041F"/>
    <w:rsid w:val="00096010"/>
    <w:rsid w:val="000A1971"/>
    <w:rsid w:val="000A4166"/>
    <w:rsid w:val="000A6CF6"/>
    <w:rsid w:val="000C6E68"/>
    <w:rsid w:val="000D3808"/>
    <w:rsid w:val="000D7F81"/>
    <w:rsid w:val="0012268B"/>
    <w:rsid w:val="00135F42"/>
    <w:rsid w:val="00137663"/>
    <w:rsid w:val="001411CB"/>
    <w:rsid w:val="00180860"/>
    <w:rsid w:val="001975D4"/>
    <w:rsid w:val="001A0D35"/>
    <w:rsid w:val="001A152A"/>
    <w:rsid w:val="001D208F"/>
    <w:rsid w:val="00205FE7"/>
    <w:rsid w:val="0021050E"/>
    <w:rsid w:val="0022515E"/>
    <w:rsid w:val="00246B7F"/>
    <w:rsid w:val="00266CAF"/>
    <w:rsid w:val="00280D98"/>
    <w:rsid w:val="00291E53"/>
    <w:rsid w:val="002A130C"/>
    <w:rsid w:val="002B04ED"/>
    <w:rsid w:val="002B0B4C"/>
    <w:rsid w:val="002B1D16"/>
    <w:rsid w:val="002F3AD5"/>
    <w:rsid w:val="00303A0C"/>
    <w:rsid w:val="00366D0F"/>
    <w:rsid w:val="003D1C59"/>
    <w:rsid w:val="003F0ED6"/>
    <w:rsid w:val="0041324E"/>
    <w:rsid w:val="00416B47"/>
    <w:rsid w:val="00430A86"/>
    <w:rsid w:val="0044255D"/>
    <w:rsid w:val="00453035"/>
    <w:rsid w:val="00467518"/>
    <w:rsid w:val="004744AB"/>
    <w:rsid w:val="00514CA8"/>
    <w:rsid w:val="00525889"/>
    <w:rsid w:val="0052671C"/>
    <w:rsid w:val="005915A2"/>
    <w:rsid w:val="00597F65"/>
    <w:rsid w:val="005B0444"/>
    <w:rsid w:val="005D760D"/>
    <w:rsid w:val="006673DF"/>
    <w:rsid w:val="00684D19"/>
    <w:rsid w:val="006906BC"/>
    <w:rsid w:val="006A244F"/>
    <w:rsid w:val="006A3489"/>
    <w:rsid w:val="006A5733"/>
    <w:rsid w:val="006E19E5"/>
    <w:rsid w:val="006F0CC6"/>
    <w:rsid w:val="00700878"/>
    <w:rsid w:val="007366FE"/>
    <w:rsid w:val="007815F2"/>
    <w:rsid w:val="007869D4"/>
    <w:rsid w:val="00787FE4"/>
    <w:rsid w:val="00793C35"/>
    <w:rsid w:val="007A74CB"/>
    <w:rsid w:val="007A7615"/>
    <w:rsid w:val="007C1777"/>
    <w:rsid w:val="007C258D"/>
    <w:rsid w:val="007C754E"/>
    <w:rsid w:val="007D3776"/>
    <w:rsid w:val="007F36DC"/>
    <w:rsid w:val="007F3F76"/>
    <w:rsid w:val="0080436A"/>
    <w:rsid w:val="00820AA7"/>
    <w:rsid w:val="0084265D"/>
    <w:rsid w:val="00856135"/>
    <w:rsid w:val="00897DED"/>
    <w:rsid w:val="008C130E"/>
    <w:rsid w:val="008D6C9F"/>
    <w:rsid w:val="008E1089"/>
    <w:rsid w:val="00904FB3"/>
    <w:rsid w:val="00914725"/>
    <w:rsid w:val="00960F3E"/>
    <w:rsid w:val="00977A16"/>
    <w:rsid w:val="009837A8"/>
    <w:rsid w:val="009A3279"/>
    <w:rsid w:val="009E105A"/>
    <w:rsid w:val="009F1880"/>
    <w:rsid w:val="00A00140"/>
    <w:rsid w:val="00A31D1B"/>
    <w:rsid w:val="00A32A1E"/>
    <w:rsid w:val="00A8269E"/>
    <w:rsid w:val="00A84835"/>
    <w:rsid w:val="00A90290"/>
    <w:rsid w:val="00AA403C"/>
    <w:rsid w:val="00AC24A1"/>
    <w:rsid w:val="00AC4F60"/>
    <w:rsid w:val="00AF03E4"/>
    <w:rsid w:val="00B0466C"/>
    <w:rsid w:val="00B274DD"/>
    <w:rsid w:val="00B522FD"/>
    <w:rsid w:val="00BF6D3D"/>
    <w:rsid w:val="00C04CD9"/>
    <w:rsid w:val="00C36750"/>
    <w:rsid w:val="00C455AA"/>
    <w:rsid w:val="00C75111"/>
    <w:rsid w:val="00C96F8C"/>
    <w:rsid w:val="00CD62EB"/>
    <w:rsid w:val="00CF0E69"/>
    <w:rsid w:val="00D027D4"/>
    <w:rsid w:val="00D02B08"/>
    <w:rsid w:val="00D15D8A"/>
    <w:rsid w:val="00D209A7"/>
    <w:rsid w:val="00D23410"/>
    <w:rsid w:val="00D34DE5"/>
    <w:rsid w:val="00D52D58"/>
    <w:rsid w:val="00D57056"/>
    <w:rsid w:val="00D716E0"/>
    <w:rsid w:val="00D80CA3"/>
    <w:rsid w:val="00D83BB6"/>
    <w:rsid w:val="00D90BB9"/>
    <w:rsid w:val="00DB66A2"/>
    <w:rsid w:val="00DB6A49"/>
    <w:rsid w:val="00DE49CD"/>
    <w:rsid w:val="00DF5A44"/>
    <w:rsid w:val="00E12C33"/>
    <w:rsid w:val="00E160E4"/>
    <w:rsid w:val="00E35F78"/>
    <w:rsid w:val="00E37C1C"/>
    <w:rsid w:val="00E579F0"/>
    <w:rsid w:val="00E62829"/>
    <w:rsid w:val="00EC62B2"/>
    <w:rsid w:val="00ED31C7"/>
    <w:rsid w:val="00ED460D"/>
    <w:rsid w:val="00ED7F8C"/>
    <w:rsid w:val="00EE33C0"/>
    <w:rsid w:val="00F21D44"/>
    <w:rsid w:val="00F425B9"/>
    <w:rsid w:val="00F426DE"/>
    <w:rsid w:val="00F53E7E"/>
    <w:rsid w:val="00F566CA"/>
    <w:rsid w:val="00F83440"/>
    <w:rsid w:val="00FA4821"/>
    <w:rsid w:val="00FA7231"/>
    <w:rsid w:val="00FC6FAB"/>
    <w:rsid w:val="00FD7FE5"/>
    <w:rsid w:val="00FF1713"/>
    <w:rsid w:val="00FF4690"/>
    <w:rsid w:val="00FF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6135"/>
    <w:pPr>
      <w:keepNext/>
      <w:keepLines/>
      <w:spacing w:before="480" w:after="0" w:line="360" w:lineRule="atLeast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613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6135"/>
  </w:style>
  <w:style w:type="table" w:styleId="a3">
    <w:name w:val="Table Grid"/>
    <w:basedOn w:val="a1"/>
    <w:uiPriority w:val="59"/>
    <w:rsid w:val="00856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6135"/>
    <w:rPr>
      <w:sz w:val="22"/>
      <w:szCs w:val="22"/>
      <w:lang w:eastAsia="en-US"/>
    </w:rPr>
  </w:style>
  <w:style w:type="paragraph" w:styleId="a5">
    <w:name w:val="Balloon Text"/>
    <w:basedOn w:val="a"/>
    <w:link w:val="a6"/>
    <w:unhideWhenUsed/>
    <w:rsid w:val="0085613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56135"/>
    <w:rPr>
      <w:rFonts w:ascii="Tahoma" w:eastAsia="Calibri" w:hAnsi="Tahoma" w:cs="Tahoma"/>
      <w:sz w:val="16"/>
      <w:szCs w:val="16"/>
    </w:rPr>
  </w:style>
  <w:style w:type="character" w:styleId="a7">
    <w:name w:val="Emphasis"/>
    <w:qFormat/>
    <w:rsid w:val="00856135"/>
    <w:rPr>
      <w:i/>
      <w:iCs/>
    </w:rPr>
  </w:style>
  <w:style w:type="paragraph" w:styleId="a8">
    <w:name w:val="List Paragraph"/>
    <w:basedOn w:val="a"/>
    <w:uiPriority w:val="34"/>
    <w:qFormat/>
    <w:rsid w:val="00856135"/>
    <w:pPr>
      <w:ind w:left="720"/>
      <w:contextualSpacing/>
    </w:pPr>
  </w:style>
  <w:style w:type="character" w:styleId="a9">
    <w:name w:val="footnote reference"/>
    <w:rsid w:val="00856135"/>
    <w:rPr>
      <w:vertAlign w:val="superscript"/>
    </w:rPr>
  </w:style>
  <w:style w:type="paragraph" w:styleId="aa">
    <w:name w:val="header"/>
    <w:basedOn w:val="a"/>
    <w:link w:val="ab"/>
    <w:unhideWhenUsed/>
    <w:rsid w:val="0085613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b">
    <w:name w:val="Верхний колонтитул Знак"/>
    <w:link w:val="aa"/>
    <w:rsid w:val="00856135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856135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d">
    <w:name w:val="Нижний колонтитул Знак"/>
    <w:link w:val="ac"/>
    <w:rsid w:val="00856135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semiHidden/>
    <w:rsid w:val="00856135"/>
  </w:style>
  <w:style w:type="character" w:styleId="ae">
    <w:name w:val="page number"/>
    <w:rsid w:val="00856135"/>
  </w:style>
  <w:style w:type="paragraph" w:styleId="af">
    <w:name w:val="footnote text"/>
    <w:basedOn w:val="a"/>
    <w:link w:val="af0"/>
    <w:rsid w:val="00856135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Текст сноски Знак"/>
    <w:link w:val="af"/>
    <w:rsid w:val="00856135"/>
    <w:rPr>
      <w:rFonts w:ascii="Times New Roman" w:eastAsia="Times New Roman" w:hAnsi="Times New Roman" w:cs="Times New Roman"/>
      <w:sz w:val="20"/>
      <w:szCs w:val="20"/>
      <w:lang/>
    </w:rPr>
  </w:style>
  <w:style w:type="character" w:styleId="af1">
    <w:name w:val="Hyperlink"/>
    <w:uiPriority w:val="99"/>
    <w:rsid w:val="00856135"/>
    <w:rPr>
      <w:color w:val="0000FF"/>
      <w:u w:val="single"/>
    </w:rPr>
  </w:style>
  <w:style w:type="character" w:customStyle="1" w:styleId="FontStyle12">
    <w:name w:val="Font Style12"/>
    <w:uiPriority w:val="99"/>
    <w:rsid w:val="00856135"/>
    <w:rPr>
      <w:rFonts w:ascii="Times New Roman" w:hAnsi="Times New Roman" w:cs="Times New Roman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856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56135"/>
  </w:style>
  <w:style w:type="table" w:customStyle="1" w:styleId="20">
    <w:name w:val="Сетка таблицы2"/>
    <w:basedOn w:val="a1"/>
    <w:next w:val="a3"/>
    <w:uiPriority w:val="59"/>
    <w:rsid w:val="00856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856135"/>
  </w:style>
  <w:style w:type="table" w:customStyle="1" w:styleId="112">
    <w:name w:val="Сетка таблицы11"/>
    <w:basedOn w:val="a1"/>
    <w:next w:val="a3"/>
    <w:uiPriority w:val="59"/>
    <w:rsid w:val="00856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56135"/>
  </w:style>
  <w:style w:type="paragraph" w:customStyle="1" w:styleId="Style4">
    <w:name w:val="Style4"/>
    <w:basedOn w:val="a"/>
    <w:uiPriority w:val="99"/>
    <w:rsid w:val="00856135"/>
    <w:pPr>
      <w:widowControl w:val="0"/>
      <w:autoSpaceDE w:val="0"/>
      <w:autoSpaceDN w:val="0"/>
      <w:adjustRightInd w:val="0"/>
      <w:spacing w:after="0" w:line="370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3"/>
    <w:uiPriority w:val="59"/>
    <w:rsid w:val="00856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rsid w:val="00856135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link w:val="af2"/>
    <w:rsid w:val="00856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rsid w:val="00856135"/>
    <w:rPr>
      <w:vertAlign w:val="superscript"/>
    </w:rPr>
  </w:style>
  <w:style w:type="character" w:styleId="af5">
    <w:name w:val="annotation reference"/>
    <w:rsid w:val="00856135"/>
    <w:rPr>
      <w:sz w:val="16"/>
      <w:szCs w:val="16"/>
    </w:rPr>
  </w:style>
  <w:style w:type="paragraph" w:styleId="af6">
    <w:name w:val="annotation text"/>
    <w:basedOn w:val="a"/>
    <w:link w:val="af7"/>
    <w:rsid w:val="00856135"/>
    <w:pPr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Текст примечания Знак"/>
    <w:link w:val="af6"/>
    <w:rsid w:val="00856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856135"/>
    <w:rPr>
      <w:b/>
      <w:bCs/>
    </w:rPr>
  </w:style>
  <w:style w:type="character" w:customStyle="1" w:styleId="af9">
    <w:name w:val="Тема примечания Знак"/>
    <w:link w:val="af8"/>
    <w:rsid w:val="008561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856135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8561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HTML">
    <w:name w:val="HTML Preformatted"/>
    <w:basedOn w:val="a"/>
    <w:link w:val="HTML0"/>
    <w:unhideWhenUsed/>
    <w:rsid w:val="00856135"/>
    <w:pPr>
      <w:spacing w:after="0" w:line="240" w:lineRule="auto"/>
      <w:jc w:val="both"/>
    </w:pPr>
    <w:rPr>
      <w:rFonts w:ascii="Consolas" w:eastAsia="Times New Roman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85613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FontStyle77">
    <w:name w:val="Font Style77"/>
    <w:uiPriority w:val="99"/>
    <w:rsid w:val="00856135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Title">
    <w:name w:val="ConsPlusTitle"/>
    <w:uiPriority w:val="99"/>
    <w:rsid w:val="007366F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9163</Words>
  <Characters>52230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реализации  регионального проекта «Старшее поколение» в Куйбышевском районе </vt:lpstr>
    </vt:vector>
  </TitlesOfParts>
  <Company>diakov.net</Company>
  <LinksUpToDate>false</LinksUpToDate>
  <CharactersWithSpaces>61271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реализации  регионального проекта «Старшее поколение» в Куйбышевском районе </dc:title>
  <dc:subject/>
  <dc:creator>Марина</dc:creator>
  <cp:keywords/>
  <cp:lastModifiedBy>Admin</cp:lastModifiedBy>
  <cp:revision>2</cp:revision>
  <cp:lastPrinted>2019-02-28T03:03:00Z</cp:lastPrinted>
  <dcterms:created xsi:type="dcterms:W3CDTF">2019-10-15T08:09:00Z</dcterms:created>
  <dcterms:modified xsi:type="dcterms:W3CDTF">2019-10-15T08:09:00Z</dcterms:modified>
</cp:coreProperties>
</file>